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4AD" w:rsidRDefault="00295C61">
      <w:pPr>
        <w:spacing w:after="196" w:line="20" w:lineRule="exact"/>
      </w:pPr>
      <w:r>
        <w:rPr>
          <w:noProof/>
          <w:lang w:val="it-IT" w:eastAsia="it-IT"/>
        </w:rPr>
        <w:drawing>
          <wp:anchor distT="0" distB="0" distL="114300" distR="114300" simplePos="0" relativeHeight="251659776" behindDoc="0" locked="0" layoutInCell="1" allowOverlap="1" wp14:anchorId="171AAA37" wp14:editId="7500C00B">
            <wp:simplePos x="0" y="0"/>
            <wp:positionH relativeFrom="margin">
              <wp:align>left</wp:align>
            </wp:positionH>
            <wp:positionV relativeFrom="paragraph">
              <wp:posOffset>1905</wp:posOffset>
            </wp:positionV>
            <wp:extent cx="1343025" cy="621665"/>
            <wp:effectExtent l="0" t="0" r="9525" b="6985"/>
            <wp:wrapSquare wrapText="bothSides"/>
            <wp:docPr id="2" name="Immagine 2"/>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343025" cy="621665"/>
                    </a:xfrm>
                    <a:prstGeom prst="rect">
                      <a:avLst/>
                    </a:prstGeom>
                  </pic:spPr>
                </pic:pic>
              </a:graphicData>
            </a:graphic>
            <wp14:sizeRelV relativeFrom="margin">
              <wp14:pctHeight>0</wp14:pctHeight>
            </wp14:sizeRelV>
          </wp:anchor>
        </w:drawing>
      </w:r>
    </w:p>
    <w:p w:rsidR="006763DF" w:rsidRDefault="006763DF">
      <w:pPr>
        <w:spacing w:line="174" w:lineRule="exact"/>
        <w:textAlignment w:val="baseline"/>
        <w:rPr>
          <w:rFonts w:ascii="Arial Narrow" w:eastAsia="Arial Narrow" w:hAnsi="Arial Narrow"/>
          <w:b/>
          <w:color w:val="000000"/>
          <w:sz w:val="15"/>
          <w:lang w:val="it-IT"/>
        </w:rPr>
      </w:pPr>
    </w:p>
    <w:p w:rsidR="006763DF" w:rsidRDefault="006763DF">
      <w:pPr>
        <w:spacing w:line="174" w:lineRule="exact"/>
        <w:textAlignment w:val="baseline"/>
        <w:rPr>
          <w:rFonts w:ascii="Arial Narrow" w:eastAsia="Arial Narrow" w:hAnsi="Arial Narrow"/>
          <w:b/>
          <w:color w:val="000000"/>
          <w:sz w:val="15"/>
          <w:lang w:val="it-IT"/>
        </w:rPr>
      </w:pPr>
    </w:p>
    <w:p w:rsidR="006763DF" w:rsidRDefault="006763DF">
      <w:pPr>
        <w:spacing w:line="174" w:lineRule="exact"/>
        <w:textAlignment w:val="baseline"/>
        <w:rPr>
          <w:rFonts w:ascii="Arial Narrow" w:eastAsia="Arial Narrow" w:hAnsi="Arial Narrow"/>
          <w:b/>
          <w:color w:val="000000"/>
          <w:sz w:val="15"/>
          <w:lang w:val="it-IT"/>
        </w:rPr>
      </w:pPr>
    </w:p>
    <w:p w:rsidR="006763DF" w:rsidRDefault="006763DF">
      <w:pPr>
        <w:spacing w:line="174" w:lineRule="exact"/>
        <w:textAlignment w:val="baseline"/>
        <w:rPr>
          <w:rFonts w:ascii="Arial Narrow" w:eastAsia="Arial Narrow" w:hAnsi="Arial Narrow"/>
          <w:b/>
          <w:color w:val="000000"/>
          <w:sz w:val="15"/>
          <w:lang w:val="it-IT"/>
        </w:rPr>
      </w:pPr>
    </w:p>
    <w:p w:rsidR="006763DF" w:rsidRDefault="006763DF">
      <w:pPr>
        <w:spacing w:line="174" w:lineRule="exact"/>
        <w:textAlignment w:val="baseline"/>
        <w:rPr>
          <w:rFonts w:ascii="Arial Narrow" w:eastAsia="Arial Narrow" w:hAnsi="Arial Narrow"/>
          <w:b/>
          <w:color w:val="000000"/>
          <w:sz w:val="15"/>
          <w:lang w:val="it-IT"/>
        </w:rPr>
      </w:pPr>
    </w:p>
    <w:p w:rsidR="004324AD" w:rsidRDefault="00295C61">
      <w:pPr>
        <w:spacing w:line="174" w:lineRule="exact"/>
        <w:textAlignment w:val="baseline"/>
        <w:rPr>
          <w:rFonts w:ascii="Arial Narrow" w:eastAsia="Arial Narrow" w:hAnsi="Arial Narrow"/>
          <w:b/>
          <w:color w:val="000000"/>
          <w:sz w:val="15"/>
          <w:lang w:val="it-IT"/>
        </w:rPr>
      </w:pPr>
      <w:r>
        <w:rPr>
          <w:rFonts w:ascii="Arial Narrow" w:eastAsia="Arial Narrow" w:hAnsi="Arial Narrow"/>
          <w:b/>
          <w:color w:val="000000"/>
          <w:sz w:val="15"/>
          <w:lang w:val="it-IT"/>
        </w:rPr>
        <w:t xml:space="preserve">                                                                                   </w:t>
      </w:r>
      <w:r w:rsidR="00374F55">
        <w:rPr>
          <w:rFonts w:ascii="Arial Narrow" w:eastAsia="Arial Narrow" w:hAnsi="Arial Narrow"/>
          <w:b/>
          <w:color w:val="000000"/>
          <w:sz w:val="15"/>
          <w:lang w:val="it-IT"/>
        </w:rPr>
        <w:t xml:space="preserve">CONDIZIONI GENERALI DI VENDITA </w:t>
      </w:r>
      <w:r w:rsidR="009C4613">
        <w:rPr>
          <w:rFonts w:ascii="Arial Narrow" w:eastAsia="Arial Narrow" w:hAnsi="Arial Narrow"/>
          <w:b/>
          <w:color w:val="000000"/>
          <w:sz w:val="15"/>
          <w:lang w:val="it-IT"/>
        </w:rPr>
        <w:t>SUMOTO SRL</w:t>
      </w:r>
      <w:r w:rsidR="00374F55">
        <w:rPr>
          <w:rFonts w:ascii="Arial Narrow" w:eastAsia="Arial Narrow" w:hAnsi="Arial Narrow"/>
          <w:b/>
          <w:color w:val="000000"/>
          <w:sz w:val="15"/>
          <w:lang w:val="it-IT"/>
        </w:rPr>
        <w:t xml:space="preserve"> </w:t>
      </w:r>
      <w:r w:rsidR="00374F55">
        <w:rPr>
          <w:rFonts w:ascii="Arial Narrow" w:eastAsia="Arial Narrow" w:hAnsi="Arial Narrow"/>
          <w:b/>
          <w:color w:val="000000"/>
          <w:sz w:val="15"/>
          <w:lang w:val="it-IT"/>
        </w:rPr>
        <w:br/>
      </w:r>
      <w:r w:rsidR="009C4613">
        <w:rPr>
          <w:rFonts w:ascii="Arial Narrow" w:eastAsia="Arial Narrow" w:hAnsi="Arial Narrow"/>
          <w:b/>
          <w:color w:val="000000"/>
          <w:sz w:val="15"/>
          <w:lang w:val="it-IT"/>
        </w:rPr>
        <w:t xml:space="preserve"> </w:t>
      </w:r>
    </w:p>
    <w:p w:rsidR="004324AD" w:rsidRDefault="00374F55">
      <w:pPr>
        <w:spacing w:before="205" w:line="155" w:lineRule="exact"/>
        <w:textAlignment w:val="baseline"/>
        <w:rPr>
          <w:rFonts w:ascii="Arial Narrow" w:eastAsia="Arial Narrow" w:hAnsi="Arial Narrow"/>
          <w:b/>
          <w:color w:val="000000"/>
          <w:spacing w:val="1"/>
          <w:sz w:val="15"/>
          <w:lang w:val="it-IT"/>
        </w:rPr>
      </w:pPr>
      <w:r>
        <w:rPr>
          <w:rFonts w:ascii="Arial Narrow" w:eastAsia="Arial Narrow" w:hAnsi="Arial Narrow"/>
          <w:b/>
          <w:color w:val="000000"/>
          <w:spacing w:val="1"/>
          <w:sz w:val="15"/>
          <w:lang w:val="it-IT"/>
        </w:rPr>
        <w:t>1. OGGETTO</w:t>
      </w:r>
    </w:p>
    <w:p w:rsidR="004324AD" w:rsidRDefault="00374F55">
      <w:pPr>
        <w:spacing w:before="23"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 xml:space="preserve">Le presenti condizioni generali disciplinano i rapporti contrattuali di vendita tra la società </w:t>
      </w:r>
      <w:r w:rsidR="009C4613">
        <w:rPr>
          <w:rFonts w:ascii="Arial Narrow" w:eastAsia="Arial Narrow" w:hAnsi="Arial Narrow"/>
          <w:color w:val="000000"/>
          <w:spacing w:val="7"/>
          <w:sz w:val="15"/>
          <w:lang w:val="it-IT"/>
        </w:rPr>
        <w:t xml:space="preserve">Sumoto </w:t>
      </w:r>
      <w:r w:rsidR="00295C61">
        <w:rPr>
          <w:rFonts w:ascii="Arial Narrow" w:eastAsia="Arial Narrow" w:hAnsi="Arial Narrow"/>
          <w:color w:val="000000"/>
          <w:spacing w:val="7"/>
          <w:sz w:val="15"/>
          <w:lang w:val="it-IT"/>
        </w:rPr>
        <w:t>S.r.l.</w:t>
      </w:r>
      <w:r>
        <w:rPr>
          <w:rFonts w:ascii="Arial Narrow" w:eastAsia="Arial Narrow" w:hAnsi="Arial Narrow"/>
          <w:color w:val="000000"/>
          <w:spacing w:val="7"/>
          <w:sz w:val="15"/>
          <w:lang w:val="it-IT"/>
        </w:rPr>
        <w:t xml:space="preserve">, </w:t>
      </w:r>
      <w:r w:rsidR="00295C61">
        <w:rPr>
          <w:rFonts w:ascii="Arial Narrow" w:eastAsia="Arial Narrow" w:hAnsi="Arial Narrow"/>
          <w:color w:val="000000"/>
          <w:spacing w:val="7"/>
          <w:sz w:val="15"/>
          <w:lang w:val="it-IT"/>
        </w:rPr>
        <w:t>P</w:t>
      </w:r>
      <w:r>
        <w:rPr>
          <w:rFonts w:ascii="Arial Narrow" w:eastAsia="Arial Narrow" w:hAnsi="Arial Narrow"/>
          <w:color w:val="000000"/>
          <w:spacing w:val="7"/>
          <w:sz w:val="15"/>
          <w:lang w:val="it-IT"/>
        </w:rPr>
        <w:t>.</w:t>
      </w:r>
      <w:r w:rsidR="00295C61">
        <w:rPr>
          <w:rFonts w:ascii="Arial Narrow" w:eastAsia="Arial Narrow" w:hAnsi="Arial Narrow"/>
          <w:color w:val="000000"/>
          <w:spacing w:val="7"/>
          <w:sz w:val="15"/>
          <w:lang w:val="it-IT"/>
        </w:rPr>
        <w:t xml:space="preserve"> </w:t>
      </w:r>
      <w:r>
        <w:rPr>
          <w:rFonts w:ascii="Arial Narrow" w:eastAsia="Arial Narrow" w:hAnsi="Arial Narrow"/>
          <w:color w:val="000000"/>
          <w:spacing w:val="7"/>
          <w:sz w:val="15"/>
          <w:lang w:val="it-IT"/>
        </w:rPr>
        <w:t>iva IT</w:t>
      </w:r>
      <w:r w:rsidR="009C4613">
        <w:rPr>
          <w:rFonts w:ascii="Arial Narrow" w:eastAsia="Arial Narrow" w:hAnsi="Arial Narrow"/>
          <w:color w:val="000000"/>
          <w:spacing w:val="7"/>
          <w:sz w:val="15"/>
          <w:lang w:val="it-IT"/>
        </w:rPr>
        <w:t>01646960243</w:t>
      </w:r>
      <w:r>
        <w:rPr>
          <w:rFonts w:ascii="Arial Narrow" w:eastAsia="Arial Narrow" w:hAnsi="Arial Narrow"/>
          <w:color w:val="000000"/>
          <w:spacing w:val="7"/>
          <w:sz w:val="15"/>
          <w:lang w:val="it-IT"/>
        </w:rPr>
        <w:t xml:space="preserve">, con sede in Via </w:t>
      </w:r>
      <w:r w:rsidR="009C4613">
        <w:rPr>
          <w:rFonts w:ascii="Arial Narrow" w:eastAsia="Arial Narrow" w:hAnsi="Arial Narrow"/>
          <w:color w:val="000000"/>
          <w:spacing w:val="7"/>
          <w:sz w:val="15"/>
          <w:lang w:val="it-IT"/>
        </w:rPr>
        <w:t>Peripoli 1-3</w:t>
      </w:r>
    </w:p>
    <w:p w:rsidR="004324AD" w:rsidRDefault="009C4613">
      <w:pPr>
        <w:spacing w:before="27" w:line="155" w:lineRule="exact"/>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 xml:space="preserve">Montecchio </w:t>
      </w:r>
      <w:r w:rsidR="003F1DA2">
        <w:rPr>
          <w:rFonts w:ascii="Arial Narrow" w:eastAsia="Arial Narrow" w:hAnsi="Arial Narrow"/>
          <w:color w:val="000000"/>
          <w:spacing w:val="6"/>
          <w:sz w:val="15"/>
          <w:lang w:val="it-IT"/>
        </w:rPr>
        <w:t>Maggiore (</w:t>
      </w:r>
      <w:r w:rsidR="00374F55">
        <w:rPr>
          <w:rFonts w:ascii="Arial Narrow" w:eastAsia="Arial Narrow" w:hAnsi="Arial Narrow"/>
          <w:color w:val="000000"/>
          <w:spacing w:val="6"/>
          <w:sz w:val="15"/>
          <w:lang w:val="it-IT"/>
        </w:rPr>
        <w:t>VI) e la propria clientela, ai quali viene data attuazione attraverso singoli ordini e relative conferme d’ordine. Ai fini delle presenti</w:t>
      </w:r>
    </w:p>
    <w:p w:rsidR="004324AD" w:rsidRDefault="00374F55">
      <w:pPr>
        <w:spacing w:before="23"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condizioni generali di vendita (di seguito denominate “Condizioni di Vendita”), i seguenti termini avranno il significato di seguito ad essi attribuiti:</w:t>
      </w:r>
    </w:p>
    <w:p w:rsidR="004324AD" w:rsidRDefault="00374F55">
      <w:pPr>
        <w:spacing w:before="27" w:line="155" w:lineRule="exact"/>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 xml:space="preserve">“Fornitore”: </w:t>
      </w:r>
      <w:r w:rsidR="009C4613">
        <w:rPr>
          <w:rFonts w:ascii="Arial Narrow" w:eastAsia="Arial Narrow" w:hAnsi="Arial Narrow"/>
          <w:color w:val="000000"/>
          <w:spacing w:val="6"/>
          <w:sz w:val="15"/>
          <w:lang w:val="it-IT"/>
        </w:rPr>
        <w:t xml:space="preserve">Sumoto </w:t>
      </w:r>
      <w:r w:rsidR="003F1DA2">
        <w:rPr>
          <w:rFonts w:ascii="Arial Narrow" w:eastAsia="Arial Narrow" w:hAnsi="Arial Narrow"/>
          <w:color w:val="000000"/>
          <w:spacing w:val="6"/>
          <w:sz w:val="15"/>
          <w:lang w:val="it-IT"/>
        </w:rPr>
        <w:t>S.r.l.</w:t>
      </w:r>
      <w:r w:rsidR="009C4613">
        <w:rPr>
          <w:rFonts w:ascii="Arial Narrow" w:eastAsia="Arial Narrow" w:hAnsi="Arial Narrow"/>
          <w:color w:val="000000"/>
          <w:spacing w:val="6"/>
          <w:sz w:val="15"/>
          <w:lang w:val="it-IT"/>
        </w:rPr>
        <w:t xml:space="preserve"> </w:t>
      </w:r>
      <w:r>
        <w:rPr>
          <w:rFonts w:ascii="Arial Narrow" w:eastAsia="Arial Narrow" w:hAnsi="Arial Narrow"/>
          <w:color w:val="000000"/>
          <w:spacing w:val="6"/>
          <w:sz w:val="15"/>
          <w:lang w:val="it-IT"/>
        </w:rPr>
        <w:t>;</w:t>
      </w:r>
    </w:p>
    <w:p w:rsidR="004324AD" w:rsidRDefault="00374F55">
      <w:pPr>
        <w:spacing w:before="23"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“Acquirente”: qualunque società, ente o entità che acquista i Prodotti dal Fornitore;</w:t>
      </w:r>
    </w:p>
    <w:p w:rsidR="004324AD" w:rsidRDefault="00374F55">
      <w:pPr>
        <w:spacing w:before="27" w:line="155" w:lineRule="exact"/>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“Prodotto/i”: i beni prodotti, assemblati e/o venduti dal Fornitore;</w:t>
      </w:r>
    </w:p>
    <w:p w:rsidR="004324AD" w:rsidRDefault="00374F55">
      <w:pPr>
        <w:spacing w:before="23" w:line="155" w:lineRule="exact"/>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“Prodotto/i Finale/i”: si intende il prodotto dell’Acquirente nel quale i Prodotti sono incorporati.</w:t>
      </w:r>
    </w:p>
    <w:p w:rsidR="004324AD" w:rsidRDefault="00374F55">
      <w:pPr>
        <w:spacing w:before="387" w:line="155" w:lineRule="exact"/>
        <w:textAlignment w:val="baseline"/>
        <w:rPr>
          <w:rFonts w:ascii="Arial Narrow" w:eastAsia="Arial Narrow" w:hAnsi="Arial Narrow"/>
          <w:b/>
          <w:color w:val="000000"/>
          <w:spacing w:val="5"/>
          <w:sz w:val="15"/>
          <w:lang w:val="it-IT"/>
        </w:rPr>
      </w:pPr>
      <w:r>
        <w:rPr>
          <w:rFonts w:ascii="Arial Narrow" w:eastAsia="Arial Narrow" w:hAnsi="Arial Narrow"/>
          <w:b/>
          <w:color w:val="000000"/>
          <w:spacing w:val="5"/>
          <w:sz w:val="15"/>
          <w:lang w:val="it-IT"/>
        </w:rPr>
        <w:t>2. EFFICACIA DELLE CONDIZIONI DI VENDITA</w:t>
      </w:r>
    </w:p>
    <w:p w:rsidR="004324AD" w:rsidRDefault="00374F55">
      <w:pPr>
        <w:spacing w:before="23"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Le presenti Condizioni di Vendita trovano applicazione anche se non espressamente richiamate e sottoscritte nei singoli ordini.</w:t>
      </w:r>
    </w:p>
    <w:p w:rsidR="004324AD" w:rsidRDefault="00374F55">
      <w:pPr>
        <w:spacing w:before="27"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Eventuali disposizioni in deroga a quanto in esse previsto avranno efficacia solo se espressamente accettate per iscritto dalle parti.</w:t>
      </w:r>
    </w:p>
    <w:p w:rsidR="004324AD" w:rsidRDefault="00374F55" w:rsidP="00B93BF1">
      <w:pPr>
        <w:spacing w:before="23"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8"/>
          <w:sz w:val="15"/>
          <w:lang w:val="it-IT"/>
        </w:rPr>
        <w:t>Le presenti Condizioni di Vendita hanno efficacia fino a quando non siano state espressamente revocate dal Fornitore ovvero siano sostituite da nuove</w:t>
      </w:r>
      <w:r w:rsidR="00B93BF1">
        <w:rPr>
          <w:rFonts w:ascii="Arial Narrow" w:eastAsia="Arial Narrow" w:hAnsi="Arial Narrow"/>
          <w:color w:val="000000"/>
          <w:spacing w:val="8"/>
          <w:sz w:val="15"/>
          <w:lang w:val="it-IT"/>
        </w:rPr>
        <w:t xml:space="preserve"> </w:t>
      </w:r>
      <w:r>
        <w:rPr>
          <w:rFonts w:ascii="Arial Narrow" w:eastAsia="Arial Narrow" w:hAnsi="Arial Narrow"/>
          <w:color w:val="000000"/>
          <w:spacing w:val="7"/>
          <w:sz w:val="15"/>
          <w:lang w:val="it-IT"/>
        </w:rPr>
        <w:t>condizioni che diverranno efficaci dalla loro sottoscrizione.</w:t>
      </w:r>
    </w:p>
    <w:p w:rsidR="004324AD" w:rsidRDefault="00374F55">
      <w:pPr>
        <w:spacing w:before="383" w:line="155" w:lineRule="exact"/>
        <w:textAlignment w:val="baseline"/>
        <w:rPr>
          <w:rFonts w:ascii="Arial Narrow" w:eastAsia="Arial Narrow" w:hAnsi="Arial Narrow"/>
          <w:b/>
          <w:color w:val="000000"/>
          <w:spacing w:val="3"/>
          <w:sz w:val="15"/>
          <w:lang w:val="it-IT"/>
        </w:rPr>
      </w:pPr>
      <w:r>
        <w:rPr>
          <w:rFonts w:ascii="Arial Narrow" w:eastAsia="Arial Narrow" w:hAnsi="Arial Narrow"/>
          <w:b/>
          <w:color w:val="000000"/>
          <w:spacing w:val="3"/>
          <w:sz w:val="15"/>
          <w:lang w:val="it-IT"/>
        </w:rPr>
        <w:t>3. CONCLUSIONE DEL CONTRATTO</w:t>
      </w:r>
    </w:p>
    <w:p w:rsidR="004324AD" w:rsidRDefault="00374F55">
      <w:pPr>
        <w:spacing w:line="180" w:lineRule="exact"/>
        <w:ind w:right="72"/>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Il contratto si intende concluso nel momento in cui perviene all’Acquirente la conferma d’ordine scritta del Fornitore, ovvero se il Fornitore, anche senza accettazione espressa, dia inizio all’esecuzione della prestazione, evadendo senz’altro l’ordine. Luogo di conclusione del contratto si intende sempre la sede del Fornitore. Ordini e/o modifiche di ordini effettuati verbalmente o telefonicamente, per essere efficaci, dovranno essere confermati per iscritto dall’Acquirente.</w:t>
      </w:r>
    </w:p>
    <w:p w:rsidR="004324AD" w:rsidRDefault="00374F55">
      <w:pPr>
        <w:spacing w:before="387" w:line="155" w:lineRule="exact"/>
        <w:jc w:val="both"/>
        <w:textAlignment w:val="baseline"/>
        <w:rPr>
          <w:rFonts w:ascii="Arial Narrow" w:eastAsia="Arial Narrow" w:hAnsi="Arial Narrow"/>
          <w:b/>
          <w:color w:val="000000"/>
          <w:spacing w:val="5"/>
          <w:sz w:val="15"/>
          <w:lang w:val="it-IT"/>
        </w:rPr>
      </w:pPr>
      <w:r>
        <w:rPr>
          <w:rFonts w:ascii="Arial Narrow" w:eastAsia="Arial Narrow" w:hAnsi="Arial Narrow"/>
          <w:b/>
          <w:color w:val="000000"/>
          <w:spacing w:val="5"/>
          <w:sz w:val="15"/>
          <w:lang w:val="it-IT"/>
        </w:rPr>
        <w:t>4. CONSEGNA</w:t>
      </w:r>
    </w:p>
    <w:p w:rsidR="004324AD" w:rsidRDefault="00374F55">
      <w:pPr>
        <w:spacing w:line="179" w:lineRule="exact"/>
        <w:ind w:right="72"/>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La data di consegna dei Prodotti è quella indicata nella conferma d'ordine scritta. Qualora l'Acquirente rifiuti di ricevere i Prodotti messi a sua disposizione con le suddette modalità, il Fornitore avrà comunque diritto al pagamento del prezzo pattuito, previa emissione della relativa fattura. In caso di omesso ritiro dei Prodotti entro cinque giorni dalla data di messa a disposizione della stessa, il Fornitore ha facoltà di depositare i Prodotti in un deposito, a rischio e spese dell'Acquirente. In questo caso, in deroga all’art. 1766 c.c. non è configurabile in capo al Fornitore un obbligo di custodia, per cui il rischio del perimento e danneggiamento dei beni grava integralmente in capo all’Acquirente.</w:t>
      </w:r>
    </w:p>
    <w:p w:rsidR="004324AD" w:rsidRDefault="00374F55">
      <w:pPr>
        <w:spacing w:before="27" w:line="155" w:lineRule="exact"/>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Il Fornitore si riserva il diritto di prorogare i termini di consegna, senza essere in alcun modo obbligato al pagamento di qualsiasi indennità nei seguenti casi:</w:t>
      </w:r>
    </w:p>
    <w:p w:rsidR="004324AD" w:rsidRPr="009C4613" w:rsidRDefault="00374F55">
      <w:pPr>
        <w:numPr>
          <w:ilvl w:val="0"/>
          <w:numId w:val="1"/>
        </w:numPr>
        <w:tabs>
          <w:tab w:val="clear" w:pos="144"/>
          <w:tab w:val="left" w:pos="432"/>
        </w:tabs>
        <w:spacing w:line="180" w:lineRule="exact"/>
        <w:ind w:left="288" w:right="72"/>
        <w:jc w:val="both"/>
        <w:textAlignment w:val="baseline"/>
        <w:rPr>
          <w:rFonts w:ascii="Arial Narrow" w:eastAsia="Arial Narrow" w:hAnsi="Arial Narrow"/>
          <w:color w:val="000000"/>
          <w:spacing w:val="6"/>
          <w:sz w:val="15"/>
          <w:lang w:val="it-IT"/>
        </w:rPr>
      </w:pPr>
      <w:r w:rsidRPr="009C4613">
        <w:rPr>
          <w:rFonts w:ascii="Arial Narrow" w:eastAsia="Arial Narrow" w:hAnsi="Arial Narrow"/>
          <w:color w:val="000000"/>
          <w:spacing w:val="6"/>
          <w:sz w:val="15"/>
          <w:lang w:val="it-IT"/>
        </w:rPr>
        <w:t>cause di forza maggiore quali, a titolo esemplificativo, scioperi, mancanza o insufficienza di energia motrice, incendio nelle aziende del Fornitore e/o ogni altro evento non imputabile a quest’ultimo;</w:t>
      </w:r>
    </w:p>
    <w:p w:rsidR="004324AD" w:rsidRDefault="00374F55">
      <w:pPr>
        <w:numPr>
          <w:ilvl w:val="0"/>
          <w:numId w:val="1"/>
        </w:numPr>
        <w:tabs>
          <w:tab w:val="clear" w:pos="144"/>
          <w:tab w:val="left" w:pos="432"/>
        </w:tabs>
        <w:spacing w:before="23" w:line="155" w:lineRule="exact"/>
        <w:ind w:left="288"/>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mancanze, inesattezze o ritardi da parte dell’Acquirente nella trasmissione delle indicazioni necessarie all’esecuzione dell’ordine;</w:t>
      </w:r>
    </w:p>
    <w:p w:rsidR="004324AD" w:rsidRDefault="00374F55">
      <w:pPr>
        <w:numPr>
          <w:ilvl w:val="0"/>
          <w:numId w:val="1"/>
        </w:numPr>
        <w:tabs>
          <w:tab w:val="clear" w:pos="144"/>
          <w:tab w:val="left" w:pos="432"/>
        </w:tabs>
        <w:spacing w:before="27" w:line="155" w:lineRule="exact"/>
        <w:ind w:left="288"/>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eventuali modifiche accettate dal Fornitore dopo il ricevimento dell’ordine;</w:t>
      </w:r>
    </w:p>
    <w:p w:rsidR="004324AD" w:rsidRDefault="00374F55">
      <w:pPr>
        <w:numPr>
          <w:ilvl w:val="0"/>
          <w:numId w:val="1"/>
        </w:numPr>
        <w:tabs>
          <w:tab w:val="clear" w:pos="144"/>
          <w:tab w:val="left" w:pos="432"/>
        </w:tabs>
        <w:spacing w:before="23" w:line="155" w:lineRule="exact"/>
        <w:ind w:left="288"/>
        <w:jc w:val="both"/>
        <w:textAlignment w:val="baseline"/>
        <w:rPr>
          <w:rFonts w:ascii="Arial Narrow" w:eastAsia="Arial Narrow" w:hAnsi="Arial Narrow"/>
          <w:color w:val="000000"/>
          <w:spacing w:val="9"/>
          <w:sz w:val="15"/>
          <w:lang w:val="it-IT"/>
        </w:rPr>
      </w:pPr>
      <w:r>
        <w:rPr>
          <w:rFonts w:ascii="Arial Narrow" w:eastAsia="Arial Narrow" w:hAnsi="Arial Narrow"/>
          <w:color w:val="000000"/>
          <w:spacing w:val="9"/>
          <w:sz w:val="15"/>
          <w:lang w:val="it-IT"/>
        </w:rPr>
        <w:t>difficoltà di approvvigionamento di materie prime;</w:t>
      </w:r>
    </w:p>
    <w:p w:rsidR="004324AD" w:rsidRDefault="00374F55">
      <w:pPr>
        <w:numPr>
          <w:ilvl w:val="0"/>
          <w:numId w:val="1"/>
        </w:numPr>
        <w:tabs>
          <w:tab w:val="clear" w:pos="144"/>
          <w:tab w:val="left" w:pos="432"/>
        </w:tabs>
        <w:spacing w:before="27" w:line="155" w:lineRule="exact"/>
        <w:ind w:left="288"/>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ritardi da parte dello spedizioniere.</w:t>
      </w:r>
    </w:p>
    <w:p w:rsidR="004324AD" w:rsidRDefault="00374F55">
      <w:pPr>
        <w:spacing w:before="383" w:line="155" w:lineRule="exact"/>
        <w:jc w:val="both"/>
        <w:textAlignment w:val="baseline"/>
        <w:rPr>
          <w:rFonts w:ascii="Arial Narrow" w:eastAsia="Arial Narrow" w:hAnsi="Arial Narrow"/>
          <w:b/>
          <w:color w:val="000000"/>
          <w:spacing w:val="4"/>
          <w:sz w:val="15"/>
          <w:lang w:val="it-IT"/>
        </w:rPr>
      </w:pPr>
      <w:r>
        <w:rPr>
          <w:rFonts w:ascii="Arial Narrow" w:eastAsia="Arial Narrow" w:hAnsi="Arial Narrow"/>
          <w:b/>
          <w:color w:val="000000"/>
          <w:spacing w:val="4"/>
          <w:sz w:val="15"/>
          <w:lang w:val="it-IT"/>
        </w:rPr>
        <w:t>5. TERMINI</w:t>
      </w:r>
    </w:p>
    <w:p w:rsidR="004324AD" w:rsidRDefault="00374F55">
      <w:pPr>
        <w:spacing w:before="2" w:line="180" w:lineRule="exact"/>
        <w:ind w:right="72"/>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Tenuto conto della complessità delle lavorazioni, i termini di approntamento, spedizione o consegna, comunque pattuiti, non hanno carattere perentorio né essenziale, ma devono intendersi puramente indicativi e non vincolanti per il Fornitore. Eventuali ritardi nelle consegne non potranno quindi dare luogo a penalità, né a risarcimento danni, né a decorrenza di interessi, né a risoluzione, neanche parziale, del contratto a carico del Fornitore. Nel caso in cui il Fornitore debba posticipare la consegna dei Prodotti rispetto al termine previsto, su richiesta dell’Acquirente o per causa a lui anche solo indirettamente imputabile, tutti gli eventuali costi aggiuntivi, come ad esempio di magazzinaggio, di movimentazione e di trasporto ecc., sono a carico dell’Acquirente stesso.</w:t>
      </w:r>
    </w:p>
    <w:p w:rsidR="004324AD" w:rsidRDefault="00374F55">
      <w:pPr>
        <w:spacing w:before="383" w:line="155" w:lineRule="exact"/>
        <w:jc w:val="both"/>
        <w:textAlignment w:val="baseline"/>
        <w:rPr>
          <w:rFonts w:ascii="Arial Narrow" w:eastAsia="Arial Narrow" w:hAnsi="Arial Narrow"/>
          <w:b/>
          <w:color w:val="000000"/>
          <w:spacing w:val="3"/>
          <w:sz w:val="15"/>
          <w:lang w:val="it-IT"/>
        </w:rPr>
      </w:pPr>
      <w:r>
        <w:rPr>
          <w:rFonts w:ascii="Arial Narrow" w:eastAsia="Arial Narrow" w:hAnsi="Arial Narrow"/>
          <w:b/>
          <w:color w:val="000000"/>
          <w:spacing w:val="3"/>
          <w:sz w:val="15"/>
          <w:lang w:val="it-IT"/>
        </w:rPr>
        <w:t>6. TRASPORTO E IMBALLAGGIO</w:t>
      </w:r>
    </w:p>
    <w:p w:rsidR="004324AD" w:rsidRDefault="00374F55">
      <w:pPr>
        <w:spacing w:before="2" w:line="180" w:lineRule="exact"/>
        <w:ind w:right="72"/>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I Prodotti sono resi secondo gli Incoterms indicati in conferma d’ordine - Incoterms nella loro versione più recente pubblicata dalla Camera di Commercio Internazionale - L’Acquirente è responsabile dello sdoganamento dei Prodotti e di ogni ed eventuale operazione accessoria ad esso connesso. Il Fornitore effettua l’imballaggio per la spedizione dei Prodotti nella forma ritenuta più opportuna e non risponde comunque di eventuali avarie, rotture, manomissioni o ammanchi che si dovessero verificare dopo l’uscita dai suoi magazzini. Gli imballaggi sono realizzati secondo esperienza d’uso, salvo richieste specifiche formulate dall’Acquirente, che devono essere espressamente indicate per iscritto nell’ordine. Il Fornitore è esonerato da ogni responsabilità in caso di perdita ed avaria dei Prodotti determinate da trasporti o manipolazioni non accurati.</w:t>
      </w:r>
    </w:p>
    <w:p w:rsidR="004324AD" w:rsidRDefault="00374F55">
      <w:pPr>
        <w:spacing w:before="383" w:line="155" w:lineRule="exact"/>
        <w:textAlignment w:val="baseline"/>
        <w:rPr>
          <w:rFonts w:ascii="Arial Narrow" w:eastAsia="Arial Narrow" w:hAnsi="Arial Narrow"/>
          <w:b/>
          <w:color w:val="000000"/>
          <w:spacing w:val="4"/>
          <w:sz w:val="15"/>
          <w:lang w:val="it-IT"/>
        </w:rPr>
      </w:pPr>
      <w:r>
        <w:rPr>
          <w:rFonts w:ascii="Arial Narrow" w:eastAsia="Arial Narrow" w:hAnsi="Arial Narrow"/>
          <w:b/>
          <w:color w:val="000000"/>
          <w:spacing w:val="4"/>
          <w:sz w:val="15"/>
          <w:lang w:val="it-IT"/>
        </w:rPr>
        <w:t>7. DIFETTI E GARANZIA DEI PRODOTTI</w:t>
      </w:r>
    </w:p>
    <w:p w:rsidR="004324AD" w:rsidRDefault="00374F55">
      <w:pPr>
        <w:spacing w:before="27" w:line="155" w:lineRule="exact"/>
        <w:textAlignment w:val="baseline"/>
        <w:rPr>
          <w:rFonts w:ascii="Arial Narrow" w:eastAsia="Arial Narrow" w:hAnsi="Arial Narrow"/>
          <w:color w:val="000000"/>
          <w:spacing w:val="9"/>
          <w:sz w:val="15"/>
          <w:lang w:val="it-IT"/>
        </w:rPr>
      </w:pPr>
      <w:r>
        <w:rPr>
          <w:rFonts w:ascii="Arial Narrow" w:eastAsia="Arial Narrow" w:hAnsi="Arial Narrow"/>
          <w:color w:val="000000"/>
          <w:spacing w:val="9"/>
          <w:sz w:val="15"/>
          <w:lang w:val="it-IT"/>
        </w:rPr>
        <w:t xml:space="preserve">La garanzia è di 12 mesi e decorre </w:t>
      </w:r>
      <w:r w:rsidR="003F1DA2">
        <w:rPr>
          <w:rFonts w:ascii="Arial Narrow" w:eastAsia="Arial Narrow" w:hAnsi="Arial Narrow"/>
          <w:color w:val="000000"/>
          <w:spacing w:val="9"/>
          <w:sz w:val="15"/>
          <w:lang w:val="it-IT"/>
        </w:rPr>
        <w:t>dal momento della vendita</w:t>
      </w:r>
      <w:r>
        <w:rPr>
          <w:rFonts w:ascii="Arial Narrow" w:eastAsia="Arial Narrow" w:hAnsi="Arial Narrow"/>
          <w:color w:val="000000"/>
          <w:spacing w:val="9"/>
          <w:sz w:val="15"/>
          <w:lang w:val="it-IT"/>
        </w:rPr>
        <w:t>. Il Fornitore garantisce che i Prodotti siano conformi alle specifiche tecniche</w:t>
      </w:r>
      <w:r w:rsidR="00FE0323">
        <w:rPr>
          <w:rFonts w:ascii="Arial Narrow" w:eastAsia="Arial Narrow" w:hAnsi="Arial Narrow"/>
          <w:color w:val="000000"/>
          <w:spacing w:val="9"/>
          <w:sz w:val="15"/>
          <w:lang w:val="it-IT"/>
        </w:rPr>
        <w:t xml:space="preserve"> comunicate.</w:t>
      </w:r>
    </w:p>
    <w:p w:rsidR="004324AD" w:rsidRDefault="00374F55">
      <w:pPr>
        <w:spacing w:before="27"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I reclami proposti dall’Acquirente per i vizi o difetti dei Prodotti forniti devono essere proposti in forma scritta mediante lettera, lettera raccomandata,</w:t>
      </w:r>
      <w:r>
        <w:rPr>
          <w:rFonts w:ascii="Arial Narrow" w:eastAsia="Arial Narrow" w:hAnsi="Arial Narrow"/>
          <w:color w:val="000000"/>
          <w:spacing w:val="6"/>
          <w:sz w:val="15"/>
          <w:lang w:val="it-IT"/>
        </w:rPr>
        <w:t xml:space="preserve"> email o e portati a conoscenza del Fornitore entro otto (8) giorni dalla consegna dei Prodotti, pena </w:t>
      </w:r>
      <w:r>
        <w:rPr>
          <w:rFonts w:ascii="Arial Narrow" w:eastAsia="Arial Narrow" w:hAnsi="Arial Narrow"/>
          <w:color w:val="000000"/>
          <w:spacing w:val="7"/>
          <w:sz w:val="15"/>
          <w:lang w:val="it-IT"/>
        </w:rPr>
        <w:t>la decadenza da ogni diritto.</w:t>
      </w:r>
    </w:p>
    <w:p w:rsidR="004324AD" w:rsidRDefault="00374F55">
      <w:pPr>
        <w:spacing w:before="23"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Il documento deve includere tutti i dettagli necessari per una valutazione immediata dei difetti, inclusi almeno i seguenti:</w:t>
      </w:r>
    </w:p>
    <w:p w:rsidR="004324AD" w:rsidRDefault="00374F55">
      <w:pPr>
        <w:numPr>
          <w:ilvl w:val="0"/>
          <w:numId w:val="2"/>
        </w:numPr>
        <w:tabs>
          <w:tab w:val="clear" w:pos="144"/>
          <w:tab w:val="left" w:pos="432"/>
        </w:tabs>
        <w:spacing w:before="27" w:line="155" w:lineRule="exact"/>
        <w:ind w:left="288"/>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il numero seriale dei Prodotti coinvolti;</w:t>
      </w:r>
    </w:p>
    <w:p w:rsidR="004324AD" w:rsidRDefault="00374F55">
      <w:pPr>
        <w:numPr>
          <w:ilvl w:val="0"/>
          <w:numId w:val="2"/>
        </w:numPr>
        <w:tabs>
          <w:tab w:val="clear" w:pos="144"/>
          <w:tab w:val="left" w:pos="432"/>
        </w:tabs>
        <w:spacing w:before="23" w:line="155" w:lineRule="exact"/>
        <w:ind w:left="288"/>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identificazione del relativo ordine di acquisto, numero di lotto e/o documento di trasporto;</w:t>
      </w:r>
    </w:p>
    <w:p w:rsidR="004324AD" w:rsidRDefault="00374F55">
      <w:pPr>
        <w:numPr>
          <w:ilvl w:val="0"/>
          <w:numId w:val="2"/>
        </w:numPr>
        <w:tabs>
          <w:tab w:val="clear" w:pos="144"/>
          <w:tab w:val="left" w:pos="432"/>
        </w:tabs>
        <w:spacing w:before="27" w:line="155" w:lineRule="exact"/>
        <w:ind w:left="288"/>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descrizione dettagliata del problema;</w:t>
      </w:r>
    </w:p>
    <w:p w:rsidR="004324AD" w:rsidRDefault="00374F55">
      <w:pPr>
        <w:numPr>
          <w:ilvl w:val="0"/>
          <w:numId w:val="2"/>
        </w:numPr>
        <w:tabs>
          <w:tab w:val="clear" w:pos="144"/>
          <w:tab w:val="left" w:pos="432"/>
        </w:tabs>
        <w:spacing w:before="23" w:after="391" w:line="155" w:lineRule="exact"/>
        <w:ind w:left="288"/>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descrizione dettagliata del luogo e delle condizioni di lavoro dove si è manifestato il problema;</w:t>
      </w:r>
    </w:p>
    <w:tbl>
      <w:tblPr>
        <w:tblW w:w="0" w:type="auto"/>
        <w:tblLayout w:type="fixed"/>
        <w:tblCellMar>
          <w:left w:w="0" w:type="dxa"/>
          <w:right w:w="0" w:type="dxa"/>
        </w:tblCellMar>
        <w:tblLook w:val="0000" w:firstRow="0" w:lastRow="0" w:firstColumn="0" w:lastColumn="0" w:noHBand="0" w:noVBand="0"/>
      </w:tblPr>
      <w:tblGrid>
        <w:gridCol w:w="2601"/>
        <w:gridCol w:w="4439"/>
        <w:gridCol w:w="1917"/>
        <w:gridCol w:w="763"/>
      </w:tblGrid>
      <w:tr w:rsidR="004324AD" w:rsidRPr="00295C61">
        <w:trPr>
          <w:trHeight w:hRule="exact" w:val="43"/>
        </w:trPr>
        <w:tc>
          <w:tcPr>
            <w:tcW w:w="2601"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4439"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1917"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763" w:type="dxa"/>
            <w:vMerge w:val="restart"/>
            <w:tcBorders>
              <w:top w:val="none" w:sz="0" w:space="0" w:color="000000"/>
              <w:left w:val="none" w:sz="0" w:space="0" w:color="000000"/>
              <w:bottom w:val="single" w:sz="0" w:space="0" w:color="000000"/>
              <w:right w:val="none" w:sz="0" w:space="0" w:color="000000"/>
            </w:tcBorders>
          </w:tcPr>
          <w:p w:rsidR="004324AD" w:rsidRPr="003F1DA2" w:rsidRDefault="004324AD">
            <w:pPr>
              <w:ind w:right="82"/>
              <w:textAlignment w:val="baseline"/>
              <w:rPr>
                <w:lang w:val="it-IT"/>
              </w:rPr>
            </w:pPr>
          </w:p>
        </w:tc>
      </w:tr>
      <w:tr w:rsidR="004324AD" w:rsidRPr="00295C61">
        <w:trPr>
          <w:trHeight w:hRule="exact" w:val="735"/>
        </w:trPr>
        <w:tc>
          <w:tcPr>
            <w:tcW w:w="8957" w:type="dxa"/>
            <w:gridSpan w:val="3"/>
            <w:tcBorders>
              <w:top w:val="none" w:sz="0" w:space="0" w:color="000000"/>
              <w:left w:val="none" w:sz="0" w:space="0" w:color="000000"/>
              <w:bottom w:val="none" w:sz="0" w:space="0" w:color="000000"/>
              <w:right w:val="none" w:sz="0" w:space="0" w:color="000000"/>
            </w:tcBorders>
          </w:tcPr>
          <w:p w:rsidR="004324AD" w:rsidRDefault="004324AD">
            <w:pPr>
              <w:spacing w:before="37" w:after="89" w:line="155" w:lineRule="exact"/>
              <w:ind w:right="1480"/>
              <w:jc w:val="right"/>
              <w:textAlignment w:val="baseline"/>
              <w:rPr>
                <w:rFonts w:ascii="Arial Narrow" w:eastAsia="Arial Narrow" w:hAnsi="Arial Narrow"/>
                <w:color w:val="403F40"/>
                <w:sz w:val="15"/>
                <w:lang w:val="it-IT"/>
              </w:rPr>
            </w:pPr>
          </w:p>
        </w:tc>
        <w:tc>
          <w:tcPr>
            <w:tcW w:w="763" w:type="dxa"/>
            <w:vMerge/>
            <w:tcBorders>
              <w:top w:val="single" w:sz="0" w:space="0" w:color="000000"/>
              <w:left w:val="none" w:sz="0" w:space="0" w:color="000000"/>
              <w:bottom w:val="none" w:sz="0" w:space="0" w:color="000000"/>
              <w:right w:val="none" w:sz="0" w:space="0" w:color="000000"/>
            </w:tcBorders>
          </w:tcPr>
          <w:p w:rsidR="004324AD" w:rsidRPr="003F1DA2" w:rsidRDefault="004324AD">
            <w:pPr>
              <w:rPr>
                <w:lang w:val="it-IT"/>
              </w:rPr>
            </w:pPr>
          </w:p>
        </w:tc>
      </w:tr>
      <w:tr w:rsidR="004324AD">
        <w:trPr>
          <w:trHeight w:hRule="exact" w:val="263"/>
        </w:trPr>
        <w:tc>
          <w:tcPr>
            <w:tcW w:w="2601" w:type="dxa"/>
            <w:tcBorders>
              <w:top w:val="none" w:sz="0" w:space="0" w:color="000000"/>
              <w:left w:val="none" w:sz="0" w:space="0" w:color="000000"/>
              <w:bottom w:val="none" w:sz="0" w:space="0" w:color="000000"/>
              <w:right w:val="none" w:sz="0" w:space="0" w:color="000000"/>
            </w:tcBorders>
          </w:tcPr>
          <w:p w:rsidR="004324AD" w:rsidRPr="003F1DA2" w:rsidRDefault="004324AD">
            <w:pPr>
              <w:rPr>
                <w:lang w:val="it-IT"/>
              </w:rPr>
            </w:pPr>
          </w:p>
        </w:tc>
        <w:tc>
          <w:tcPr>
            <w:tcW w:w="4439" w:type="dxa"/>
            <w:tcBorders>
              <w:top w:val="none" w:sz="0" w:space="0" w:color="000000"/>
              <w:left w:val="none" w:sz="0" w:space="0" w:color="000000"/>
              <w:bottom w:val="none" w:sz="0" w:space="0" w:color="000000"/>
              <w:right w:val="none" w:sz="0" w:space="0" w:color="000000"/>
            </w:tcBorders>
            <w:vAlign w:val="center"/>
          </w:tcPr>
          <w:p w:rsidR="004324AD" w:rsidRDefault="0026149A">
            <w:pPr>
              <w:spacing w:before="87" w:after="7" w:line="155" w:lineRule="exact"/>
              <w:jc w:val="center"/>
              <w:textAlignment w:val="baseline"/>
              <w:rPr>
                <w:rFonts w:ascii="Arial Narrow" w:eastAsia="Arial Narrow" w:hAnsi="Arial Narrow"/>
                <w:color w:val="403F40"/>
                <w:sz w:val="15"/>
                <w:lang w:val="it-IT"/>
              </w:rPr>
            </w:pPr>
            <w:r>
              <w:rPr>
                <w:rFonts w:ascii="Arial Narrow" w:eastAsia="Arial Narrow" w:hAnsi="Arial Narrow"/>
                <w:color w:val="403F40"/>
                <w:sz w:val="15"/>
                <w:lang w:val="it-IT"/>
              </w:rPr>
              <w:t>P</w:t>
            </w:r>
            <w:r w:rsidR="00374F55">
              <w:rPr>
                <w:rFonts w:ascii="Arial Narrow" w:eastAsia="Arial Narrow" w:hAnsi="Arial Narrow"/>
                <w:color w:val="403F40"/>
                <w:sz w:val="15"/>
                <w:lang w:val="it-IT"/>
              </w:rPr>
              <w:t>ag</w:t>
            </w:r>
            <w:r>
              <w:rPr>
                <w:rFonts w:ascii="Arial Narrow" w:eastAsia="Arial Narrow" w:hAnsi="Arial Narrow"/>
                <w:color w:val="403F40"/>
                <w:sz w:val="15"/>
                <w:lang w:val="it-IT"/>
              </w:rPr>
              <w:t>.</w:t>
            </w:r>
            <w:bookmarkStart w:id="0" w:name="_GoBack"/>
            <w:bookmarkEnd w:id="0"/>
            <w:r w:rsidR="00374F55">
              <w:rPr>
                <w:rFonts w:ascii="Arial Narrow" w:eastAsia="Arial Narrow" w:hAnsi="Arial Narrow"/>
                <w:color w:val="403F40"/>
                <w:sz w:val="15"/>
                <w:lang w:val="it-IT"/>
              </w:rPr>
              <w:t xml:space="preserve"> | 1</w:t>
            </w:r>
          </w:p>
        </w:tc>
        <w:tc>
          <w:tcPr>
            <w:tcW w:w="1917" w:type="dxa"/>
            <w:tcBorders>
              <w:top w:val="none" w:sz="0" w:space="0" w:color="000000"/>
              <w:left w:val="none" w:sz="0" w:space="0" w:color="000000"/>
              <w:bottom w:val="none" w:sz="0" w:space="0" w:color="000000"/>
              <w:right w:val="none" w:sz="0" w:space="0" w:color="000000"/>
            </w:tcBorders>
          </w:tcPr>
          <w:p w:rsidR="004324AD" w:rsidRDefault="004324AD"/>
        </w:tc>
        <w:tc>
          <w:tcPr>
            <w:tcW w:w="763" w:type="dxa"/>
            <w:tcBorders>
              <w:top w:val="none" w:sz="0" w:space="0" w:color="000000"/>
              <w:left w:val="none" w:sz="0" w:space="0" w:color="000000"/>
              <w:bottom w:val="none" w:sz="0" w:space="0" w:color="000000"/>
              <w:right w:val="none" w:sz="0" w:space="0" w:color="000000"/>
            </w:tcBorders>
          </w:tcPr>
          <w:p w:rsidR="004324AD" w:rsidRDefault="004324AD"/>
        </w:tc>
      </w:tr>
    </w:tbl>
    <w:p w:rsidR="004324AD" w:rsidRDefault="004324AD">
      <w:pPr>
        <w:sectPr w:rsidR="004324AD" w:rsidSect="00295C61">
          <w:pgSz w:w="11909" w:h="16838"/>
          <w:pgMar w:top="851" w:right="1055" w:bottom="249" w:left="1134"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341"/>
        <w:gridCol w:w="3826"/>
      </w:tblGrid>
      <w:tr w:rsidR="004324AD" w:rsidTr="00295C61">
        <w:trPr>
          <w:trHeight w:hRule="exact" w:val="415"/>
        </w:trPr>
        <w:tc>
          <w:tcPr>
            <w:tcW w:w="5341" w:type="dxa"/>
            <w:tcBorders>
              <w:top w:val="none" w:sz="0" w:space="0" w:color="000000"/>
              <w:left w:val="none" w:sz="0" w:space="0" w:color="000000"/>
              <w:bottom w:val="none" w:sz="0" w:space="0" w:color="000000"/>
              <w:right w:val="none" w:sz="0" w:space="0" w:color="000000"/>
            </w:tcBorders>
          </w:tcPr>
          <w:p w:rsidR="006763DF" w:rsidRDefault="006763DF">
            <w:pPr>
              <w:spacing w:before="18"/>
              <w:textAlignment w:val="baseline"/>
            </w:pPr>
          </w:p>
          <w:p w:rsidR="004324AD" w:rsidRPr="006763DF" w:rsidRDefault="004324AD" w:rsidP="006763DF">
            <w:pPr>
              <w:tabs>
                <w:tab w:val="left" w:pos="1078"/>
              </w:tabs>
            </w:pPr>
          </w:p>
        </w:tc>
        <w:tc>
          <w:tcPr>
            <w:tcW w:w="3826" w:type="dxa"/>
            <w:tcBorders>
              <w:top w:val="none" w:sz="0" w:space="0" w:color="000000"/>
              <w:left w:val="none" w:sz="0" w:space="0" w:color="000000"/>
              <w:bottom w:val="none" w:sz="0" w:space="0" w:color="000000"/>
              <w:right w:val="none" w:sz="0" w:space="0" w:color="000000"/>
            </w:tcBorders>
          </w:tcPr>
          <w:p w:rsidR="004324AD" w:rsidRDefault="004324AD">
            <w:pPr>
              <w:spacing w:before="18"/>
              <w:jc w:val="right"/>
              <w:textAlignment w:val="baseline"/>
            </w:pPr>
          </w:p>
        </w:tc>
      </w:tr>
      <w:tr w:rsidR="004324AD" w:rsidTr="00295C61">
        <w:trPr>
          <w:trHeight w:hRule="exact" w:val="90"/>
        </w:trPr>
        <w:tc>
          <w:tcPr>
            <w:tcW w:w="5341" w:type="dxa"/>
            <w:tcBorders>
              <w:top w:val="none" w:sz="0" w:space="0" w:color="000000"/>
              <w:left w:val="none" w:sz="0" w:space="0" w:color="000000"/>
              <w:bottom w:val="none" w:sz="0" w:space="0" w:color="000000"/>
              <w:right w:val="none" w:sz="0" w:space="0" w:color="000000"/>
            </w:tcBorders>
          </w:tcPr>
          <w:p w:rsidR="004324AD" w:rsidRDefault="004324AD"/>
        </w:tc>
        <w:tc>
          <w:tcPr>
            <w:tcW w:w="3826" w:type="dxa"/>
            <w:tcBorders>
              <w:top w:val="none" w:sz="0" w:space="0" w:color="000000"/>
              <w:left w:val="none" w:sz="0" w:space="0" w:color="000000"/>
              <w:bottom w:val="none" w:sz="0" w:space="0" w:color="000000"/>
              <w:right w:val="none" w:sz="0" w:space="0" w:color="000000"/>
            </w:tcBorders>
            <w:vAlign w:val="center"/>
          </w:tcPr>
          <w:p w:rsidR="004324AD" w:rsidRDefault="004324AD">
            <w:pPr>
              <w:spacing w:before="63" w:after="17" w:line="155" w:lineRule="exact"/>
              <w:ind w:right="274"/>
              <w:jc w:val="right"/>
              <w:textAlignment w:val="baseline"/>
              <w:rPr>
                <w:rFonts w:ascii="Arial Narrow" w:eastAsia="Arial Narrow" w:hAnsi="Arial Narrow"/>
                <w:color w:val="403F40"/>
                <w:sz w:val="15"/>
                <w:lang w:val="it-IT"/>
              </w:rPr>
            </w:pPr>
          </w:p>
        </w:tc>
      </w:tr>
    </w:tbl>
    <w:p w:rsidR="004324AD" w:rsidRDefault="00295C61">
      <w:pPr>
        <w:spacing w:after="160" w:line="20" w:lineRule="exact"/>
      </w:pPr>
      <w:r>
        <w:tab/>
      </w:r>
      <w:r>
        <w:rPr>
          <w:noProof/>
          <w:lang w:val="it-IT" w:eastAsia="it-IT"/>
        </w:rPr>
        <w:drawing>
          <wp:anchor distT="0" distB="0" distL="114300" distR="114300" simplePos="0" relativeHeight="251661824" behindDoc="0" locked="0" layoutInCell="1" allowOverlap="1" wp14:anchorId="171AAA37" wp14:editId="7500C00B">
            <wp:simplePos x="0" y="0"/>
            <wp:positionH relativeFrom="margin">
              <wp:align>left</wp:align>
            </wp:positionH>
            <wp:positionV relativeFrom="paragraph">
              <wp:posOffset>-875030</wp:posOffset>
            </wp:positionV>
            <wp:extent cx="1343025" cy="609600"/>
            <wp:effectExtent l="0" t="0" r="9525" b="0"/>
            <wp:wrapSquare wrapText="bothSides"/>
            <wp:docPr id="6" name="Immagine 6"/>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343025" cy="609600"/>
                    </a:xfrm>
                    <a:prstGeom prst="rect">
                      <a:avLst/>
                    </a:prstGeom>
                  </pic:spPr>
                </pic:pic>
              </a:graphicData>
            </a:graphic>
            <wp14:sizeRelV relativeFrom="margin">
              <wp14:pctHeight>0</wp14:pctHeight>
            </wp14:sizeRelV>
          </wp:anchor>
        </w:drawing>
      </w:r>
    </w:p>
    <w:p w:rsidR="004324AD" w:rsidRDefault="00374F55">
      <w:pPr>
        <w:numPr>
          <w:ilvl w:val="0"/>
          <w:numId w:val="3"/>
        </w:numPr>
        <w:tabs>
          <w:tab w:val="clear" w:pos="144"/>
          <w:tab w:val="left" w:pos="504"/>
        </w:tabs>
        <w:spacing w:before="27" w:line="155" w:lineRule="exact"/>
        <w:ind w:left="360"/>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recapiti della persona di riferimento da contattare;</w:t>
      </w:r>
    </w:p>
    <w:p w:rsidR="004324AD" w:rsidRDefault="00374F55">
      <w:pPr>
        <w:numPr>
          <w:ilvl w:val="0"/>
          <w:numId w:val="3"/>
        </w:numPr>
        <w:tabs>
          <w:tab w:val="clear" w:pos="144"/>
          <w:tab w:val="left" w:pos="504"/>
        </w:tabs>
        <w:spacing w:before="23" w:line="155" w:lineRule="exact"/>
        <w:ind w:left="360"/>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foto o video che mostrino i difetti e dell’etichetta del Fornitore apposta sui prodotti coinvolti.</w:t>
      </w:r>
    </w:p>
    <w:p w:rsidR="004324AD" w:rsidRDefault="00374F55">
      <w:pPr>
        <w:spacing w:before="182" w:line="180"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Qualora il reclamo proposto nelle modalità sopra indicate si riveli fondato, il Fornitore provvederà a sua discrezione, in un termine da concordare, alla restituzione della somma pagata, alla riparazione o alla sostituzione nei limiti della propria disponibilità contingente di magazzino, dei Prodotti difettosi.</w:t>
      </w:r>
    </w:p>
    <w:p w:rsidR="004324AD" w:rsidRPr="00374F55" w:rsidRDefault="00374F55">
      <w:pPr>
        <w:spacing w:line="179" w:lineRule="exact"/>
        <w:jc w:val="both"/>
        <w:textAlignment w:val="baseline"/>
        <w:rPr>
          <w:rFonts w:ascii="Arial Narrow" w:eastAsia="Arial Narrow" w:hAnsi="Arial Narrow"/>
          <w:color w:val="000000"/>
          <w:spacing w:val="7"/>
          <w:sz w:val="15"/>
          <w:lang w:val="it-IT"/>
        </w:rPr>
      </w:pPr>
      <w:r w:rsidRPr="00374F55">
        <w:rPr>
          <w:rFonts w:ascii="Arial Narrow" w:eastAsia="Arial Narrow" w:hAnsi="Arial Narrow"/>
          <w:color w:val="000000"/>
          <w:spacing w:val="7"/>
          <w:sz w:val="15"/>
          <w:lang w:val="it-IT"/>
        </w:rPr>
        <w:t>Si precisa che, salvo il caso di dolo o colpa grave</w:t>
      </w:r>
      <w:r>
        <w:rPr>
          <w:rFonts w:ascii="Arial Narrow" w:eastAsia="Arial Narrow" w:hAnsi="Arial Narrow"/>
          <w:color w:val="000000"/>
          <w:spacing w:val="7"/>
          <w:sz w:val="15"/>
          <w:lang w:val="it-IT"/>
        </w:rPr>
        <w:t>, il Fornitore sarà tenuto, in caso di fondati vizi, mancanza di qualità o difetto di conformità dei Prodotti, unicamente alla restituzione della somma pagata, alla riparazione degli stessi o alla fornitura di Prodotti in sostituzione di quelli difettosi nei limiti della propria disponibilità contingente di magazzino. È inteso che la suddetta garanzia è assorbente e sostitutiva delle garanzie o responsabilità previste per legge ed esclude ogni altra responsabilità del Fornitore (sia contrattuale che extracontrattuale) comunque originata dai Prodotti forniti (ad es. risarcimento del danno, mancato guadagno, campagne di ritiro, ecc.).</w:t>
      </w:r>
    </w:p>
    <w:p w:rsidR="004324AD" w:rsidRDefault="00374F55">
      <w:pPr>
        <w:spacing w:line="180"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Sono, invece, espressamente escluse dalla garanzia le spese per la spedizione del prodotto al Venditore e per la riconsegna all’Acquirente, oltre che eventuali spese di intervento sostenute direttamente o indirettamente dall’Acquirente per lo smontaggio e rimontaggio del bene difettoso o per eventuali costi di intervento di soggetti terzi incaricati dall’Acquirente per provvedere a qualsiasi titolo alla gestione della difettosità emersa (es. società di manutenzione o di assistenza tecnica incaricate dall’Acquirente).</w:t>
      </w:r>
    </w:p>
    <w:p w:rsidR="004324AD" w:rsidRDefault="00374F55">
      <w:pPr>
        <w:spacing w:before="27" w:line="155" w:lineRule="exact"/>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È fatto salvo il diritto del Fornitore alla restituzione della fornitura contestata.</w:t>
      </w:r>
    </w:p>
    <w:p w:rsidR="004324AD" w:rsidRDefault="00374F55">
      <w:pPr>
        <w:spacing w:line="179"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Il Fornitore si riserva la facoltà di esaminare la fondatezza dei reclami. Nel caso in cui essi si rivelassero infondati, il Fornitore può addebitare le spese dell’ispezione all’Acquirente. Reclami o contestazioni, sia pure riconosciute dal Fornitore, non attribuiscono comunque il diritto all’Acquirente di ritardare o sospendere i pagamenti.</w:t>
      </w:r>
    </w:p>
    <w:p w:rsidR="004324AD" w:rsidRDefault="00374F55">
      <w:pPr>
        <w:spacing w:before="27" w:line="155" w:lineRule="exact"/>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La garanzia non copre nessuna delle seguenti circostanze:</w:t>
      </w:r>
    </w:p>
    <w:p w:rsidR="004324AD" w:rsidRDefault="00374F55">
      <w:pPr>
        <w:numPr>
          <w:ilvl w:val="0"/>
          <w:numId w:val="4"/>
        </w:numPr>
        <w:tabs>
          <w:tab w:val="clear" w:pos="144"/>
          <w:tab w:val="left" w:pos="504"/>
        </w:tabs>
        <w:spacing w:before="23" w:line="155" w:lineRule="exact"/>
        <w:ind w:left="360"/>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perdita o danneggiamento dei Prodotti durante la spedizione o il trasporto;</w:t>
      </w:r>
    </w:p>
    <w:p w:rsidR="004324AD" w:rsidRDefault="00374F55">
      <w:pPr>
        <w:numPr>
          <w:ilvl w:val="0"/>
          <w:numId w:val="4"/>
        </w:numPr>
        <w:tabs>
          <w:tab w:val="clear" w:pos="144"/>
          <w:tab w:val="left" w:pos="504"/>
        </w:tabs>
        <w:spacing w:before="27" w:line="155" w:lineRule="exact"/>
        <w:ind w:left="360"/>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rimozione dell’etichetta identificativa apposta su ogni prodotto;</w:t>
      </w:r>
    </w:p>
    <w:p w:rsidR="004324AD" w:rsidRDefault="00374F55">
      <w:pPr>
        <w:numPr>
          <w:ilvl w:val="0"/>
          <w:numId w:val="4"/>
        </w:numPr>
        <w:tabs>
          <w:tab w:val="clear" w:pos="144"/>
          <w:tab w:val="left" w:pos="504"/>
        </w:tabs>
        <w:spacing w:before="23" w:line="155" w:lineRule="exact"/>
        <w:ind w:left="360"/>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inadeguata o scarsa prestazione dei Prodotti per l'utilizzo nei Prodotti finali dell'Acquirente;</w:t>
      </w:r>
    </w:p>
    <w:p w:rsidR="004324AD" w:rsidRDefault="00374F55">
      <w:pPr>
        <w:numPr>
          <w:ilvl w:val="0"/>
          <w:numId w:val="4"/>
        </w:numPr>
        <w:tabs>
          <w:tab w:val="clear" w:pos="144"/>
          <w:tab w:val="left" w:pos="504"/>
        </w:tabs>
        <w:spacing w:line="180" w:lineRule="exact"/>
        <w:ind w:left="360"/>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guasti o danni causati da cattiva gestione e/o errata corrispondenza dei Prodotti con gli altri componenti dei Prodotti Finali dell'Acquirente o da qualsiasi altra causa non correlata a un difetto originale dei Prodotti;</w:t>
      </w:r>
    </w:p>
    <w:p w:rsidR="004324AD" w:rsidRDefault="00374F55">
      <w:pPr>
        <w:numPr>
          <w:ilvl w:val="0"/>
          <w:numId w:val="4"/>
        </w:numPr>
        <w:tabs>
          <w:tab w:val="clear" w:pos="144"/>
          <w:tab w:val="left" w:pos="504"/>
        </w:tabs>
        <w:spacing w:before="27" w:line="155" w:lineRule="exact"/>
        <w:ind w:left="360"/>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guasti o danni verificatisi a seguito del rispetto da parte del Fornitore di specifiche istruzioni o richieste dell'Acquirente;</w:t>
      </w:r>
    </w:p>
    <w:p w:rsidR="004324AD" w:rsidRDefault="00374F55">
      <w:pPr>
        <w:numPr>
          <w:ilvl w:val="0"/>
          <w:numId w:val="4"/>
        </w:numPr>
        <w:tabs>
          <w:tab w:val="clear" w:pos="144"/>
          <w:tab w:val="left" w:pos="504"/>
        </w:tabs>
        <w:spacing w:line="180" w:lineRule="exact"/>
        <w:ind w:left="360"/>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guasti o danni derivanti da improprio o imprudente stoccaggio, assemblaggio, installazione, uso o manutenzione dei Prodotti e/o dei Prodotti Finali dell'Acquirente o da condizioni operative anormali (incluso, senza limitazione, eccessivo stress fisico o elettrico, funzionamento oltre le capacità previste, sovraccarico, ecc.) o, comunque, per mancato rispetto di qualsiasi indicazione contenuta nella documentazione tecnica allegata ai Prodotti o altrimenti fornita dal Fornitore;</w:t>
      </w:r>
    </w:p>
    <w:p w:rsidR="004324AD" w:rsidRDefault="00374F55">
      <w:pPr>
        <w:numPr>
          <w:ilvl w:val="0"/>
          <w:numId w:val="4"/>
        </w:numPr>
        <w:tabs>
          <w:tab w:val="clear" w:pos="144"/>
          <w:tab w:val="left" w:pos="504"/>
        </w:tabs>
        <w:spacing w:line="179" w:lineRule="exact"/>
        <w:ind w:left="360"/>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guasti o danni derivanti da modifiche, alterazioni, riparazioni o sostituzioni dei Prodotti effettuate dall'Acquirente o da terzi o dall'uso di pezzi di ricambio, componenti, accessori e/o materiali di consumo (ad esempio olio, lubrificanti, detergenti, ecc.) che non sono originali o approvati dal Fornitore per iscritto;</w:t>
      </w:r>
    </w:p>
    <w:p w:rsidR="004324AD" w:rsidRDefault="00374F55">
      <w:pPr>
        <w:numPr>
          <w:ilvl w:val="0"/>
          <w:numId w:val="4"/>
        </w:numPr>
        <w:tabs>
          <w:tab w:val="clear" w:pos="144"/>
          <w:tab w:val="left" w:pos="504"/>
        </w:tabs>
        <w:spacing w:before="27" w:line="155" w:lineRule="exact"/>
        <w:ind w:left="360"/>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guasti o danni causati da eventi imprevisti o di forza maggiore, fattori ambientali, negligenza o incompetenza dell'Acquirente o di terzi;</w:t>
      </w:r>
    </w:p>
    <w:p w:rsidR="004324AD" w:rsidRDefault="00374F55">
      <w:pPr>
        <w:numPr>
          <w:ilvl w:val="0"/>
          <w:numId w:val="4"/>
        </w:numPr>
        <w:tabs>
          <w:tab w:val="clear" w:pos="144"/>
          <w:tab w:val="left" w:pos="504"/>
        </w:tabs>
        <w:spacing w:before="23" w:line="155" w:lineRule="exact"/>
        <w:ind w:left="360"/>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guasti o danni causati o aggravati dall'ulteriore utilizzo dei Prodotti una volta che il difetto o la non conformità si manifestano;</w:t>
      </w:r>
    </w:p>
    <w:p w:rsidR="004324AD" w:rsidRDefault="00374F55">
      <w:pPr>
        <w:numPr>
          <w:ilvl w:val="0"/>
          <w:numId w:val="4"/>
        </w:numPr>
        <w:tabs>
          <w:tab w:val="clear" w:pos="144"/>
          <w:tab w:val="left" w:pos="504"/>
        </w:tabs>
        <w:spacing w:before="27" w:line="155" w:lineRule="exact"/>
        <w:ind w:left="360"/>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parti soggette a regolazione o sostituzione durante la normale manutenzione preventiva (ad es. filtri, lampadine, ecc.)</w:t>
      </w:r>
    </w:p>
    <w:p w:rsidR="004324AD" w:rsidRDefault="00374F55">
      <w:pPr>
        <w:numPr>
          <w:ilvl w:val="0"/>
          <w:numId w:val="4"/>
        </w:numPr>
        <w:tabs>
          <w:tab w:val="clear" w:pos="144"/>
          <w:tab w:val="left" w:pos="504"/>
        </w:tabs>
        <w:spacing w:before="23" w:line="155" w:lineRule="exact"/>
        <w:ind w:left="360"/>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normale usura, da valutare in relazione alle effettive condizioni d'uso dei Prodotti;</w:t>
      </w:r>
    </w:p>
    <w:p w:rsidR="004324AD" w:rsidRDefault="00374F55">
      <w:pPr>
        <w:numPr>
          <w:ilvl w:val="0"/>
          <w:numId w:val="4"/>
        </w:numPr>
        <w:tabs>
          <w:tab w:val="clear" w:pos="144"/>
          <w:tab w:val="left" w:pos="504"/>
        </w:tabs>
        <w:spacing w:before="27" w:line="155" w:lineRule="exact"/>
        <w:ind w:left="360"/>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mancato rispetto, parziale o totale, da parte dell'Acquirente dei suoi obblighi di pagamento nei confronti del Fornitore.</w:t>
      </w:r>
    </w:p>
    <w:p w:rsidR="00374F55" w:rsidRDefault="00374F55" w:rsidP="00374F55">
      <w:pPr>
        <w:spacing w:line="180" w:lineRule="exact"/>
        <w:jc w:val="both"/>
        <w:textAlignment w:val="baseline"/>
        <w:rPr>
          <w:rFonts w:ascii="Arial Narrow" w:eastAsia="Arial Narrow" w:hAnsi="Arial Narrow"/>
          <w:color w:val="000000"/>
          <w:spacing w:val="8"/>
          <w:sz w:val="15"/>
          <w:lang w:val="it-IT"/>
        </w:rPr>
      </w:pPr>
    </w:p>
    <w:p w:rsidR="004324AD" w:rsidRPr="00374F55" w:rsidRDefault="00374F55" w:rsidP="00374F55">
      <w:pPr>
        <w:spacing w:line="180" w:lineRule="exact"/>
        <w:jc w:val="both"/>
        <w:textAlignment w:val="baseline"/>
        <w:rPr>
          <w:rFonts w:ascii="Arial Narrow" w:eastAsia="Arial Narrow" w:hAnsi="Arial Narrow"/>
          <w:color w:val="000000"/>
          <w:spacing w:val="8"/>
          <w:sz w:val="15"/>
          <w:lang w:val="it-IT"/>
        </w:rPr>
      </w:pPr>
      <w:r w:rsidRPr="00374F55">
        <w:rPr>
          <w:rFonts w:ascii="Arial Narrow" w:eastAsia="Arial Narrow" w:hAnsi="Arial Narrow"/>
          <w:color w:val="000000"/>
          <w:spacing w:val="8"/>
          <w:sz w:val="15"/>
          <w:lang w:val="it-IT"/>
        </w:rPr>
        <w:t>La responsabilità a carico del Fornitore per i danni derivanti alle persone da incidenti di qualsiasi natura cagionati da Prodotti difettosi, sarà soltanto quella che le deriverà inderogabilmente dalla legge (in territorio americano sono esclusi i Punitive Damages).</w:t>
      </w:r>
    </w:p>
    <w:p w:rsidR="004324AD" w:rsidRDefault="00374F55">
      <w:pPr>
        <w:spacing w:line="180"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Eventuali contestazioni riguardanti una singola consegna non esonerano l’Acquirente dall’obbligo di ritirare la restante quantità di prodotti prevista dallo specifico ordine, oppure da altri ordini distinti da quello in esame.</w:t>
      </w:r>
    </w:p>
    <w:p w:rsidR="004324AD" w:rsidRDefault="00374F55">
      <w:pPr>
        <w:spacing w:before="2" w:line="180"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Se il Prodotto presenta difetti che non sono garantiti, il Fornitore procede con l’invio all’Acquirente di un preventivo per la riparazione o per la sostituzione. L’Acquirente ha tempo otto giorni dalla comunicazione del preventivo per comunicare, tramite email, se vuole procedere o meno. Passato questo termine, se il Fornitore non riceve alcuna risposta, procede alla rottamazione del Prodotto.</w:t>
      </w:r>
    </w:p>
    <w:p w:rsidR="004324AD" w:rsidRDefault="00374F55">
      <w:pPr>
        <w:numPr>
          <w:ilvl w:val="0"/>
          <w:numId w:val="5"/>
        </w:numPr>
        <w:spacing w:before="383" w:line="155" w:lineRule="exact"/>
        <w:textAlignment w:val="baseline"/>
        <w:rPr>
          <w:rFonts w:ascii="Arial Narrow" w:eastAsia="Arial Narrow" w:hAnsi="Arial Narrow"/>
          <w:b/>
          <w:color w:val="000000"/>
          <w:sz w:val="15"/>
          <w:lang w:val="it-IT"/>
        </w:rPr>
      </w:pPr>
      <w:r>
        <w:rPr>
          <w:rFonts w:ascii="Arial Narrow" w:eastAsia="Arial Narrow" w:hAnsi="Arial Narrow"/>
          <w:b/>
          <w:color w:val="000000"/>
          <w:sz w:val="15"/>
          <w:lang w:val="it-IT"/>
        </w:rPr>
        <w:t>RESI DI MERCE</w:t>
      </w:r>
    </w:p>
    <w:p w:rsidR="004324AD" w:rsidRDefault="00374F55">
      <w:pPr>
        <w:spacing w:line="180" w:lineRule="exact"/>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Il Fornitore non accetta resi di merce se non preliminarmente autorizzati dallo stesso per iscritto. I prodotti devono, comunque, essere integri (non smontati), imballati (possibilmente nella confezione originale) e accompagnati da bolla di reso e dalla documentazione richiesta al punto 7 (pertinente ai fini del reso), assumendosene l’Acquirente tutti i costi e rischi. I resi devono essere spediti al centro di test del Fornitore presso la sede italiana al fine di consentire la verifica del reclamo da parte del Fornitore. Le spese di spedizione saranno rimborsate all’Acquirente soltanto nel caso in cui il Fornitore accetti il reso.</w:t>
      </w:r>
    </w:p>
    <w:p w:rsidR="004324AD" w:rsidRDefault="00374F55">
      <w:pPr>
        <w:numPr>
          <w:ilvl w:val="0"/>
          <w:numId w:val="5"/>
        </w:numPr>
        <w:spacing w:before="387" w:line="155" w:lineRule="exact"/>
        <w:textAlignment w:val="baseline"/>
        <w:rPr>
          <w:rFonts w:ascii="Arial Narrow" w:eastAsia="Arial Narrow" w:hAnsi="Arial Narrow"/>
          <w:b/>
          <w:color w:val="000000"/>
          <w:sz w:val="15"/>
          <w:lang w:val="it-IT"/>
        </w:rPr>
      </w:pPr>
      <w:r>
        <w:rPr>
          <w:rFonts w:ascii="Arial Narrow" w:eastAsia="Arial Narrow" w:hAnsi="Arial Narrow"/>
          <w:b/>
          <w:color w:val="000000"/>
          <w:sz w:val="15"/>
          <w:lang w:val="it-IT"/>
        </w:rPr>
        <w:t>PREZZO</w:t>
      </w:r>
    </w:p>
    <w:p w:rsidR="004324AD" w:rsidRPr="00374F55" w:rsidRDefault="00374F55">
      <w:pPr>
        <w:spacing w:line="180" w:lineRule="exact"/>
        <w:jc w:val="both"/>
        <w:textAlignment w:val="baseline"/>
        <w:rPr>
          <w:rFonts w:ascii="Arial Narrow" w:eastAsia="Arial Narrow" w:hAnsi="Arial Narrow"/>
          <w:color w:val="000000"/>
          <w:spacing w:val="7"/>
          <w:sz w:val="15"/>
          <w:lang w:val="it-IT"/>
        </w:rPr>
      </w:pPr>
      <w:r w:rsidRPr="00374F55">
        <w:rPr>
          <w:rFonts w:ascii="Arial Narrow" w:eastAsia="Arial Narrow" w:hAnsi="Arial Narrow"/>
          <w:color w:val="000000"/>
          <w:spacing w:val="7"/>
          <w:sz w:val="15"/>
          <w:lang w:val="it-IT"/>
        </w:rPr>
        <w:t>Le quotazioni non sono vincolanti. Una quotazione è considerata accettata solo sulla nostra conferma scritta dell'ordine, dopo aver chiarito completamente tutti i dettagli tecnici e commerciali.</w:t>
      </w:r>
    </w:p>
    <w:p w:rsidR="004324AD" w:rsidRDefault="00374F55">
      <w:pPr>
        <w:spacing w:line="179" w:lineRule="exact"/>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Il prezzo cui le parti fanno riferimento, ai fini delle presenti Condizioni di Vendita, è quello espressamente indicato nella conferma d’ordine inviata dal Fornitore all’Acquirente. Cataloghi, listini prezzi o altro materiale promozionale costituiscono soltanto una indicazione del tipo di Prodotti e del prezzo e le informazioni, anche tecniche, ivi indicate non sono vincolanti per il Fornitore e possono essere variate senza preventiva comunicazione. Qualora nel corso della fornitura si verificassero aumenti nei materiali, nella manodopera o negli altri elementi di costo, resta in facoltà del Fornitore adeguare i prezzi a partire dalle date in cui tali aumenti sono intervenuti, previa comunicazione all’Acquirente.</w:t>
      </w:r>
    </w:p>
    <w:p w:rsidR="004324AD" w:rsidRDefault="00374F55">
      <w:pPr>
        <w:numPr>
          <w:ilvl w:val="0"/>
          <w:numId w:val="5"/>
        </w:numPr>
        <w:spacing w:before="387" w:line="155" w:lineRule="exact"/>
        <w:textAlignment w:val="baseline"/>
        <w:rPr>
          <w:rFonts w:ascii="Arial Narrow" w:eastAsia="Arial Narrow" w:hAnsi="Arial Narrow"/>
          <w:b/>
          <w:color w:val="000000"/>
          <w:spacing w:val="7"/>
          <w:sz w:val="15"/>
          <w:lang w:val="it-IT"/>
        </w:rPr>
      </w:pPr>
      <w:r>
        <w:rPr>
          <w:rFonts w:ascii="Arial Narrow" w:eastAsia="Arial Narrow" w:hAnsi="Arial Narrow"/>
          <w:b/>
          <w:color w:val="000000"/>
          <w:spacing w:val="7"/>
          <w:sz w:val="15"/>
          <w:lang w:val="it-IT"/>
        </w:rPr>
        <w:t>PAGAMENTO</w:t>
      </w:r>
    </w:p>
    <w:p w:rsidR="004324AD" w:rsidRDefault="00374F55">
      <w:pPr>
        <w:spacing w:line="180" w:lineRule="exact"/>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L’Acquirente non è autorizzato ad effettuare alcuna deduzione dal prezzo pattuito (ad es. in caso di pretesi difetti dei Prodotti), se non previamente stabilito per iscritto con il Fornitore.</w:t>
      </w:r>
    </w:p>
    <w:p w:rsidR="004324AD" w:rsidRDefault="00374F55">
      <w:pPr>
        <w:spacing w:after="209" w:line="180" w:lineRule="exact"/>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Il pagamento deve essere effettuato nei termini e nelle modalità indicati nella conferma d’ordine o nella fattura di vendita. Il pagamento è ritenuto valido se effettuato direttamente al Fornitore presso la sua sede o alle coordinate bancarie indicate nella conferma d’ordine, comunque, nella valuta e nelle forme indicate in fattura. Qualsiasi pagamento fatto in luogo e modo diverso da quello pattuito, non sarà ritenuto valido dal Fornitore. Nel caso di pagamento effettuato a mezzo di lettera di credito, il pagamento dovrà intendersi da eseguire presso cassa di banca Italiana. L’eventuale ritardo nel pagamento comporterà l’addebito di interessi di mora pari al tasso ufficiale di sconto praticato dalla Banca Centrale Europea maggiorato di cinque punti. In deroga al D. Lgs. 9 ottobre 2002 n.231 stabiliamo la non automaticità della decorrenza degli interessi moratori; tale</w:t>
      </w:r>
    </w:p>
    <w:tbl>
      <w:tblPr>
        <w:tblW w:w="0" w:type="auto"/>
        <w:tblLayout w:type="fixed"/>
        <w:tblCellMar>
          <w:left w:w="0" w:type="dxa"/>
          <w:right w:w="0" w:type="dxa"/>
        </w:tblCellMar>
        <w:tblLook w:val="0000" w:firstRow="0" w:lastRow="0" w:firstColumn="0" w:lastColumn="0" w:noHBand="0" w:noVBand="0"/>
      </w:tblPr>
      <w:tblGrid>
        <w:gridCol w:w="2639"/>
        <w:gridCol w:w="4439"/>
        <w:gridCol w:w="1917"/>
        <w:gridCol w:w="725"/>
      </w:tblGrid>
      <w:tr w:rsidR="004324AD" w:rsidRPr="00295C61">
        <w:trPr>
          <w:trHeight w:hRule="exact" w:val="43"/>
        </w:trPr>
        <w:tc>
          <w:tcPr>
            <w:tcW w:w="2639"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4439"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1917"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725" w:type="dxa"/>
            <w:vMerge w:val="restart"/>
            <w:tcBorders>
              <w:top w:val="none" w:sz="0" w:space="0" w:color="000000"/>
              <w:left w:val="none" w:sz="0" w:space="0" w:color="000000"/>
              <w:bottom w:val="single" w:sz="0" w:space="0" w:color="000000"/>
              <w:right w:val="none" w:sz="0" w:space="0" w:color="000000"/>
            </w:tcBorders>
          </w:tcPr>
          <w:p w:rsidR="004324AD" w:rsidRPr="00295C61" w:rsidRDefault="004324AD">
            <w:pPr>
              <w:ind w:right="44"/>
              <w:jc w:val="center"/>
              <w:textAlignment w:val="baseline"/>
              <w:rPr>
                <w:lang w:val="it-IT"/>
              </w:rPr>
            </w:pPr>
          </w:p>
        </w:tc>
      </w:tr>
      <w:tr w:rsidR="004324AD" w:rsidRPr="00295C61">
        <w:trPr>
          <w:trHeight w:hRule="exact" w:val="735"/>
        </w:trPr>
        <w:tc>
          <w:tcPr>
            <w:tcW w:w="8995" w:type="dxa"/>
            <w:gridSpan w:val="3"/>
            <w:tcBorders>
              <w:top w:val="none" w:sz="0" w:space="0" w:color="000000"/>
              <w:left w:val="none" w:sz="0" w:space="0" w:color="000000"/>
              <w:bottom w:val="none" w:sz="0" w:space="0" w:color="000000"/>
              <w:right w:val="none" w:sz="0" w:space="0" w:color="000000"/>
            </w:tcBorders>
          </w:tcPr>
          <w:p w:rsidR="004324AD" w:rsidRDefault="004324AD">
            <w:pPr>
              <w:spacing w:before="37" w:after="89" w:line="155" w:lineRule="exact"/>
              <w:ind w:right="1480"/>
              <w:jc w:val="right"/>
              <w:textAlignment w:val="baseline"/>
              <w:rPr>
                <w:rFonts w:ascii="Arial Narrow" w:eastAsia="Arial Narrow" w:hAnsi="Arial Narrow"/>
                <w:color w:val="403F40"/>
                <w:sz w:val="15"/>
                <w:lang w:val="it-IT"/>
              </w:rPr>
            </w:pPr>
          </w:p>
        </w:tc>
        <w:tc>
          <w:tcPr>
            <w:tcW w:w="725" w:type="dxa"/>
            <w:vMerge/>
            <w:tcBorders>
              <w:top w:val="single" w:sz="0" w:space="0" w:color="000000"/>
              <w:left w:val="none" w:sz="0" w:space="0" w:color="000000"/>
              <w:bottom w:val="none" w:sz="0" w:space="0" w:color="000000"/>
              <w:right w:val="none" w:sz="0" w:space="0" w:color="000000"/>
            </w:tcBorders>
          </w:tcPr>
          <w:p w:rsidR="004324AD" w:rsidRPr="00295C61" w:rsidRDefault="004324AD">
            <w:pPr>
              <w:rPr>
                <w:lang w:val="it-IT"/>
              </w:rPr>
            </w:pPr>
          </w:p>
        </w:tc>
      </w:tr>
      <w:tr w:rsidR="004324AD">
        <w:trPr>
          <w:trHeight w:hRule="exact" w:val="263"/>
        </w:trPr>
        <w:tc>
          <w:tcPr>
            <w:tcW w:w="2639" w:type="dxa"/>
            <w:tcBorders>
              <w:top w:val="none" w:sz="0" w:space="0" w:color="000000"/>
              <w:left w:val="none" w:sz="0" w:space="0" w:color="000000"/>
              <w:bottom w:val="none" w:sz="0" w:space="0" w:color="000000"/>
              <w:right w:val="none" w:sz="0" w:space="0" w:color="000000"/>
            </w:tcBorders>
          </w:tcPr>
          <w:p w:rsidR="004324AD" w:rsidRPr="00295C61" w:rsidRDefault="004324AD">
            <w:pPr>
              <w:rPr>
                <w:lang w:val="it-IT"/>
              </w:rPr>
            </w:pPr>
          </w:p>
        </w:tc>
        <w:tc>
          <w:tcPr>
            <w:tcW w:w="4439" w:type="dxa"/>
            <w:tcBorders>
              <w:top w:val="none" w:sz="0" w:space="0" w:color="000000"/>
              <w:left w:val="none" w:sz="0" w:space="0" w:color="000000"/>
              <w:bottom w:val="none" w:sz="0" w:space="0" w:color="000000"/>
              <w:right w:val="none" w:sz="0" w:space="0" w:color="000000"/>
            </w:tcBorders>
            <w:vAlign w:val="center"/>
          </w:tcPr>
          <w:p w:rsidR="004324AD" w:rsidRDefault="0026149A">
            <w:pPr>
              <w:spacing w:before="87" w:after="7" w:line="155" w:lineRule="exact"/>
              <w:jc w:val="center"/>
              <w:textAlignment w:val="baseline"/>
              <w:rPr>
                <w:rFonts w:ascii="Arial Narrow" w:eastAsia="Arial Narrow" w:hAnsi="Arial Narrow"/>
                <w:color w:val="403F40"/>
                <w:sz w:val="15"/>
                <w:lang w:val="it-IT"/>
              </w:rPr>
            </w:pPr>
            <w:r>
              <w:rPr>
                <w:rFonts w:ascii="Arial Narrow" w:eastAsia="Arial Narrow" w:hAnsi="Arial Narrow"/>
                <w:color w:val="403F40"/>
                <w:sz w:val="15"/>
                <w:lang w:val="it-IT"/>
              </w:rPr>
              <w:t>P</w:t>
            </w:r>
            <w:r w:rsidR="00374F55">
              <w:rPr>
                <w:rFonts w:ascii="Arial Narrow" w:eastAsia="Arial Narrow" w:hAnsi="Arial Narrow"/>
                <w:color w:val="403F40"/>
                <w:sz w:val="15"/>
                <w:lang w:val="it-IT"/>
              </w:rPr>
              <w:t>ag</w:t>
            </w:r>
            <w:r>
              <w:rPr>
                <w:rFonts w:ascii="Arial Narrow" w:eastAsia="Arial Narrow" w:hAnsi="Arial Narrow"/>
                <w:color w:val="403F40"/>
                <w:sz w:val="15"/>
                <w:lang w:val="it-IT"/>
              </w:rPr>
              <w:t>.</w:t>
            </w:r>
            <w:r w:rsidR="00374F55">
              <w:rPr>
                <w:rFonts w:ascii="Arial Narrow" w:eastAsia="Arial Narrow" w:hAnsi="Arial Narrow"/>
                <w:color w:val="403F40"/>
                <w:sz w:val="15"/>
                <w:lang w:val="it-IT"/>
              </w:rPr>
              <w:t xml:space="preserve"> | 2</w:t>
            </w:r>
          </w:p>
        </w:tc>
        <w:tc>
          <w:tcPr>
            <w:tcW w:w="1917" w:type="dxa"/>
            <w:tcBorders>
              <w:top w:val="none" w:sz="0" w:space="0" w:color="000000"/>
              <w:left w:val="none" w:sz="0" w:space="0" w:color="000000"/>
              <w:bottom w:val="none" w:sz="0" w:space="0" w:color="000000"/>
              <w:right w:val="none" w:sz="0" w:space="0" w:color="000000"/>
            </w:tcBorders>
          </w:tcPr>
          <w:p w:rsidR="004324AD" w:rsidRDefault="004324AD"/>
        </w:tc>
        <w:tc>
          <w:tcPr>
            <w:tcW w:w="725" w:type="dxa"/>
            <w:tcBorders>
              <w:top w:val="none" w:sz="0" w:space="0" w:color="000000"/>
              <w:left w:val="none" w:sz="0" w:space="0" w:color="000000"/>
              <w:bottom w:val="none" w:sz="0" w:space="0" w:color="000000"/>
              <w:right w:val="none" w:sz="0" w:space="0" w:color="000000"/>
            </w:tcBorders>
          </w:tcPr>
          <w:p w:rsidR="004324AD" w:rsidRDefault="004324AD"/>
        </w:tc>
      </w:tr>
    </w:tbl>
    <w:p w:rsidR="004324AD" w:rsidRDefault="004324AD">
      <w:pPr>
        <w:sectPr w:rsidR="004324AD">
          <w:pgSz w:w="11909" w:h="16838"/>
          <w:pgMar w:top="520" w:right="1094" w:bottom="59" w:left="109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663"/>
        <w:gridCol w:w="4057"/>
      </w:tblGrid>
      <w:tr w:rsidR="004324AD">
        <w:trPr>
          <w:trHeight w:hRule="exact" w:val="1131"/>
        </w:trPr>
        <w:tc>
          <w:tcPr>
            <w:tcW w:w="5663" w:type="dxa"/>
            <w:tcBorders>
              <w:top w:val="none" w:sz="0" w:space="0" w:color="000000"/>
              <w:left w:val="none" w:sz="0" w:space="0" w:color="000000"/>
              <w:bottom w:val="none" w:sz="0" w:space="0" w:color="000000"/>
              <w:right w:val="none" w:sz="0" w:space="0" w:color="000000"/>
            </w:tcBorders>
          </w:tcPr>
          <w:p w:rsidR="004324AD" w:rsidRDefault="00295C61">
            <w:pPr>
              <w:spacing w:before="18"/>
              <w:textAlignment w:val="baseline"/>
            </w:pPr>
            <w:r>
              <w:rPr>
                <w:noProof/>
                <w:lang w:val="it-IT" w:eastAsia="it-IT"/>
              </w:rPr>
              <w:lastRenderedPageBreak/>
              <w:drawing>
                <wp:anchor distT="0" distB="0" distL="114300" distR="114300" simplePos="0" relativeHeight="251663872" behindDoc="0" locked="0" layoutInCell="1" allowOverlap="1" wp14:anchorId="171AAA37" wp14:editId="7500C00B">
                  <wp:simplePos x="0" y="0"/>
                  <wp:positionH relativeFrom="column">
                    <wp:posOffset>1905</wp:posOffset>
                  </wp:positionH>
                  <wp:positionV relativeFrom="paragraph">
                    <wp:posOffset>0</wp:posOffset>
                  </wp:positionV>
                  <wp:extent cx="1343025" cy="650875"/>
                  <wp:effectExtent l="0" t="0" r="9525" b="0"/>
                  <wp:wrapSquare wrapText="bothSides"/>
                  <wp:docPr id="7" name="Immagine 7"/>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a:extLst>
                              <a:ext uri="{28A0092B-C50C-407E-A947-70E740481C1C}">
                                <a14:useLocalDpi xmlns:a14="http://schemas.microsoft.com/office/drawing/2010/main" val="0"/>
                              </a:ext>
                            </a:extLst>
                          </a:blip>
                          <a:stretch>
                            <a:fillRect/>
                          </a:stretch>
                        </pic:blipFill>
                        <pic:spPr>
                          <a:xfrm>
                            <a:off x="0" y="0"/>
                            <a:ext cx="1343025" cy="650875"/>
                          </a:xfrm>
                          <a:prstGeom prst="rect">
                            <a:avLst/>
                          </a:prstGeom>
                        </pic:spPr>
                      </pic:pic>
                    </a:graphicData>
                  </a:graphic>
                  <wp14:sizeRelV relativeFrom="margin">
                    <wp14:pctHeight>0</wp14:pctHeight>
                  </wp14:sizeRelV>
                </wp:anchor>
              </w:drawing>
            </w:r>
          </w:p>
        </w:tc>
        <w:tc>
          <w:tcPr>
            <w:tcW w:w="4057" w:type="dxa"/>
            <w:tcBorders>
              <w:top w:val="none" w:sz="0" w:space="0" w:color="000000"/>
              <w:left w:val="none" w:sz="0" w:space="0" w:color="000000"/>
              <w:bottom w:val="none" w:sz="0" w:space="0" w:color="000000"/>
              <w:right w:val="none" w:sz="0" w:space="0" w:color="000000"/>
            </w:tcBorders>
          </w:tcPr>
          <w:p w:rsidR="004324AD" w:rsidRDefault="004324AD">
            <w:pPr>
              <w:spacing w:before="18"/>
              <w:jc w:val="right"/>
              <w:textAlignment w:val="baseline"/>
            </w:pPr>
          </w:p>
        </w:tc>
      </w:tr>
      <w:tr w:rsidR="004324AD">
        <w:trPr>
          <w:trHeight w:hRule="exact" w:val="247"/>
        </w:trPr>
        <w:tc>
          <w:tcPr>
            <w:tcW w:w="5663" w:type="dxa"/>
            <w:tcBorders>
              <w:top w:val="none" w:sz="0" w:space="0" w:color="000000"/>
              <w:left w:val="none" w:sz="0" w:space="0" w:color="000000"/>
              <w:bottom w:val="none" w:sz="0" w:space="0" w:color="000000"/>
              <w:right w:val="none" w:sz="0" w:space="0" w:color="000000"/>
            </w:tcBorders>
          </w:tcPr>
          <w:p w:rsidR="004324AD" w:rsidRDefault="004324AD"/>
        </w:tc>
        <w:tc>
          <w:tcPr>
            <w:tcW w:w="4057" w:type="dxa"/>
            <w:tcBorders>
              <w:top w:val="none" w:sz="0" w:space="0" w:color="000000"/>
              <w:left w:val="none" w:sz="0" w:space="0" w:color="000000"/>
              <w:bottom w:val="none" w:sz="0" w:space="0" w:color="000000"/>
              <w:right w:val="none" w:sz="0" w:space="0" w:color="000000"/>
            </w:tcBorders>
            <w:vAlign w:val="center"/>
          </w:tcPr>
          <w:p w:rsidR="004324AD" w:rsidRDefault="004324AD">
            <w:pPr>
              <w:spacing w:before="63" w:after="17" w:line="155" w:lineRule="exact"/>
              <w:ind w:right="274"/>
              <w:jc w:val="right"/>
              <w:textAlignment w:val="baseline"/>
              <w:rPr>
                <w:rFonts w:ascii="Arial Narrow" w:eastAsia="Arial Narrow" w:hAnsi="Arial Narrow"/>
                <w:color w:val="403F40"/>
                <w:sz w:val="15"/>
                <w:lang w:val="it-IT"/>
              </w:rPr>
            </w:pPr>
          </w:p>
        </w:tc>
      </w:tr>
    </w:tbl>
    <w:p w:rsidR="004324AD" w:rsidRDefault="004324AD">
      <w:pPr>
        <w:spacing w:after="160" w:line="20" w:lineRule="exact"/>
      </w:pPr>
    </w:p>
    <w:p w:rsidR="004324AD" w:rsidRDefault="00374F55">
      <w:pPr>
        <w:spacing w:before="2" w:line="180"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decorrenza avverrà solo con formale costituzione in mora del debitore. Inoltre, nel caso di mancato pagamento da parte dell’Acquirente di anche un solo rateo, il Fornitore, a sua discrezione, potrà modificare termini e modalità di pagamento relativi alle forniture e/o agli ordini ancora in corso, oppure potrà sospendere l’adempimento delle proprie obbligazioni fino al pagamento integrale del prezzo (capitale più interessi e spese) da parte dell’Acquirente, oppure potrà annullarli senza che l’Acquirente possa avanzare richieste di indennizzo o risarcimento di sorta, fatto salvo ogni e qualsiasi diritto del Fornitore ad ottenere dall’Acquirente il risarcimento di ogni danno, costo e spese sostenuti dal Fornitore. In ogni caso, il Fornitore si riserva il diritto di risolvere ipso iure il contratto mediante comunicazione scritta all’Acquirente, senza necessità di messa in mora, nonché di agire nei confronti dell’Acquirente per il pagamento di quanto dovuto ed il risarcimento del danno subito. Qualora rimanga inadempiuta l’obbligazione di pagamento del prezzo, a norma della presente clausola, il Fornitore ha facoltà, di far vendere i Prodotti per conto e a spese dell’acquirente, dando comunicazione all’acquirente del tempo e del luogo in cui la vendita sarà eseguita. Se il pagamento viene fatto a mezzo credito documentario, i documenti dovranno essere in lingua inglese a prescindere dalla nazionalità del contraente.</w:t>
      </w:r>
    </w:p>
    <w:p w:rsidR="004324AD" w:rsidRDefault="00374F55">
      <w:pPr>
        <w:spacing w:before="382" w:line="156" w:lineRule="exact"/>
        <w:jc w:val="both"/>
        <w:textAlignment w:val="baseline"/>
        <w:rPr>
          <w:rFonts w:ascii="Arial Narrow" w:eastAsia="Arial Narrow" w:hAnsi="Arial Narrow"/>
          <w:b/>
          <w:color w:val="000000"/>
          <w:spacing w:val="1"/>
          <w:sz w:val="15"/>
          <w:lang w:val="it-IT"/>
        </w:rPr>
      </w:pPr>
      <w:r>
        <w:rPr>
          <w:rFonts w:ascii="Arial Narrow" w:eastAsia="Arial Narrow" w:hAnsi="Arial Narrow"/>
          <w:b/>
          <w:color w:val="000000"/>
          <w:spacing w:val="1"/>
          <w:sz w:val="15"/>
          <w:lang w:val="it-IT"/>
        </w:rPr>
        <w:t>11. RISERVA DI PROPRIETÀ</w:t>
      </w:r>
    </w:p>
    <w:p w:rsidR="004324AD" w:rsidRDefault="00374F55" w:rsidP="001F7840">
      <w:pPr>
        <w:spacing w:line="180" w:lineRule="exact"/>
        <w:jc w:val="both"/>
        <w:textAlignment w:val="baseline"/>
        <w:rPr>
          <w:rFonts w:ascii="Arial Narrow" w:eastAsia="Arial Narrow" w:hAnsi="Arial Narrow"/>
          <w:color w:val="000000"/>
          <w:sz w:val="15"/>
          <w:lang w:val="it-IT"/>
        </w:rPr>
      </w:pPr>
      <w:r>
        <w:rPr>
          <w:rFonts w:ascii="Arial Narrow" w:eastAsia="Arial Narrow" w:hAnsi="Arial Narrow"/>
          <w:color w:val="000000"/>
          <w:spacing w:val="7"/>
          <w:sz w:val="15"/>
          <w:lang w:val="it-IT"/>
        </w:rPr>
        <w:t xml:space="preserve">Nell’ipotesi di vendita con pagamento dilazionato, l’Acquirente acquista la proprietà dei Prodotti solo dopo l’avvenuto pagamento dell’ultima rata del prezzo, assumendo tuttavia il rischio della perdita totale e parziale dei Prodotti sin dal momento della consegna. L’assunzione del rischio riguarda anche il furto, l’incendio o il caso fortuito che comportassero la perdita totale o parziale dei Prodotti. Il pagamento </w:t>
      </w:r>
      <w:r w:rsidR="001F7840">
        <w:rPr>
          <w:rFonts w:ascii="Arial Narrow" w:eastAsia="Arial Narrow" w:hAnsi="Arial Narrow"/>
          <w:color w:val="000000"/>
          <w:spacing w:val="7"/>
          <w:sz w:val="15"/>
          <w:lang w:val="it-IT"/>
        </w:rPr>
        <w:t>dei</w:t>
      </w:r>
      <w:r>
        <w:rPr>
          <w:rFonts w:ascii="Arial Narrow" w:eastAsia="Arial Narrow" w:hAnsi="Arial Narrow"/>
          <w:color w:val="000000"/>
          <w:spacing w:val="7"/>
          <w:sz w:val="15"/>
          <w:lang w:val="it-IT"/>
        </w:rPr>
        <w:t xml:space="preserve"> Prodotti, dovrà, pertanto, essere effettuato indipendentemente dalla circostanza dell’avvenuto perimento totale o parziale di essa. </w:t>
      </w:r>
    </w:p>
    <w:p w:rsidR="004324AD" w:rsidRDefault="00374F55">
      <w:pPr>
        <w:spacing w:before="387" w:line="155" w:lineRule="exact"/>
        <w:jc w:val="both"/>
        <w:textAlignment w:val="baseline"/>
        <w:rPr>
          <w:rFonts w:ascii="Arial Narrow" w:eastAsia="Arial Narrow" w:hAnsi="Arial Narrow"/>
          <w:b/>
          <w:color w:val="000000"/>
          <w:spacing w:val="4"/>
          <w:sz w:val="15"/>
          <w:lang w:val="it-IT"/>
        </w:rPr>
      </w:pPr>
      <w:r>
        <w:rPr>
          <w:rFonts w:ascii="Arial Narrow" w:eastAsia="Arial Narrow" w:hAnsi="Arial Narrow"/>
          <w:b/>
          <w:color w:val="000000"/>
          <w:spacing w:val="4"/>
          <w:sz w:val="15"/>
          <w:lang w:val="it-IT"/>
        </w:rPr>
        <w:t>12. RISOLUZIONE</w:t>
      </w:r>
    </w:p>
    <w:p w:rsidR="004324AD" w:rsidRDefault="00374F55">
      <w:pPr>
        <w:spacing w:line="179"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 xml:space="preserve">Nel caso in cui l’Acquirente sia sottoposto ad una procedura concorsuale o sia notorio che si trovi in uno stato di difficoltà finanziaria o non adempia ad una qualsiasi delle obbligazioni contrattuali, il Fornitore può risolvere il contratto per mezzo di comunicazione scritta all’Acquirente. Nel caso di risoluzione del contratto, senza pregiudizio degli altri diritti, il Fornitore </w:t>
      </w:r>
      <w:r w:rsidR="001F7840">
        <w:rPr>
          <w:rFonts w:ascii="Arial Narrow" w:eastAsia="Arial Narrow" w:hAnsi="Arial Narrow"/>
          <w:color w:val="000000"/>
          <w:spacing w:val="8"/>
          <w:sz w:val="15"/>
          <w:lang w:val="it-IT"/>
        </w:rPr>
        <w:t>è</w:t>
      </w:r>
      <w:r>
        <w:rPr>
          <w:rFonts w:ascii="Arial Narrow" w:eastAsia="Arial Narrow" w:hAnsi="Arial Narrow"/>
          <w:color w:val="000000"/>
          <w:spacing w:val="8"/>
          <w:sz w:val="15"/>
          <w:lang w:val="it-IT"/>
        </w:rPr>
        <w:t xml:space="preserve"> legittimato ad entrare nei locali dell’Acquirente, o in ogni luogo dove i Prodotti sono situati, ed a prendere possesso in tutto o in parte dei Prodotti. La risoluzione del contratto per qualsiasi causa non pregiudica i diritti acquisiti dal Fornitore fino al momento della risoluzione. Nel caso di risoluzione, le somme già versate resteranno acquisite al Fornitore in conto delle maggiori somme ancora dovute dall’Acquirente, fatto salvo il risarcimento del danno ed i Prodotti dovranno essere immediatamente restituiti al Fornitore, presso la sede dello stesso o nel diverso luogo da questo indicato.</w:t>
      </w:r>
    </w:p>
    <w:p w:rsidR="004324AD" w:rsidRDefault="00374F55">
      <w:pPr>
        <w:spacing w:before="27" w:line="155" w:lineRule="exact"/>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 xml:space="preserve">Costituiscono causa di risoluzione espressa del contratto la violazione delle seguenti </w:t>
      </w:r>
      <w:r w:rsidR="001F7840">
        <w:rPr>
          <w:rFonts w:ascii="Arial Narrow" w:eastAsia="Arial Narrow" w:hAnsi="Arial Narrow"/>
          <w:color w:val="000000"/>
          <w:spacing w:val="7"/>
          <w:sz w:val="15"/>
          <w:lang w:val="it-IT"/>
        </w:rPr>
        <w:t>obbligazioni</w:t>
      </w:r>
      <w:r>
        <w:rPr>
          <w:rFonts w:ascii="Arial Narrow" w:eastAsia="Arial Narrow" w:hAnsi="Arial Narrow"/>
          <w:color w:val="000000"/>
          <w:spacing w:val="7"/>
          <w:sz w:val="15"/>
          <w:lang w:val="it-IT"/>
        </w:rPr>
        <w:t>:</w:t>
      </w:r>
    </w:p>
    <w:p w:rsidR="004324AD" w:rsidRDefault="00374F55">
      <w:pPr>
        <w:numPr>
          <w:ilvl w:val="0"/>
          <w:numId w:val="6"/>
        </w:numPr>
        <w:tabs>
          <w:tab w:val="clear" w:pos="144"/>
          <w:tab w:val="left" w:pos="504"/>
        </w:tabs>
        <w:spacing w:before="23" w:line="155" w:lineRule="exact"/>
        <w:ind w:left="360"/>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Ritardato pagamento anche di una sola rata in caso di pagamento dilazionato;</w:t>
      </w:r>
    </w:p>
    <w:p w:rsidR="004324AD" w:rsidRDefault="00374F55">
      <w:pPr>
        <w:numPr>
          <w:ilvl w:val="0"/>
          <w:numId w:val="6"/>
        </w:numPr>
        <w:tabs>
          <w:tab w:val="clear" w:pos="144"/>
          <w:tab w:val="left" w:pos="504"/>
        </w:tabs>
        <w:spacing w:before="27" w:line="155" w:lineRule="exact"/>
        <w:ind w:left="360"/>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Mancato ritiro della merce nei termini contrattualmente previsti;</w:t>
      </w:r>
    </w:p>
    <w:p w:rsidR="004324AD" w:rsidRDefault="00374F55">
      <w:pPr>
        <w:numPr>
          <w:ilvl w:val="0"/>
          <w:numId w:val="6"/>
        </w:numPr>
        <w:tabs>
          <w:tab w:val="clear" w:pos="144"/>
          <w:tab w:val="left" w:pos="504"/>
        </w:tabs>
        <w:spacing w:before="23" w:line="155" w:lineRule="exact"/>
        <w:ind w:left="360"/>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Violazione degli obblighi di riservatezza;</w:t>
      </w:r>
    </w:p>
    <w:p w:rsidR="004324AD" w:rsidRDefault="00374F55">
      <w:pPr>
        <w:numPr>
          <w:ilvl w:val="0"/>
          <w:numId w:val="6"/>
        </w:numPr>
        <w:tabs>
          <w:tab w:val="clear" w:pos="144"/>
          <w:tab w:val="left" w:pos="504"/>
        </w:tabs>
        <w:spacing w:before="27" w:line="155" w:lineRule="exact"/>
        <w:ind w:left="360"/>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Violazione dei diritti di proprietà intellettuale di cui all’art. 15.</w:t>
      </w:r>
    </w:p>
    <w:p w:rsidR="004324AD" w:rsidRDefault="00374F55">
      <w:pPr>
        <w:spacing w:before="383" w:line="155" w:lineRule="exact"/>
        <w:jc w:val="both"/>
        <w:textAlignment w:val="baseline"/>
        <w:rPr>
          <w:rFonts w:ascii="Arial Narrow" w:eastAsia="Arial Narrow" w:hAnsi="Arial Narrow"/>
          <w:b/>
          <w:color w:val="000000"/>
          <w:spacing w:val="3"/>
          <w:sz w:val="15"/>
          <w:lang w:val="it-IT"/>
        </w:rPr>
      </w:pPr>
      <w:r>
        <w:rPr>
          <w:rFonts w:ascii="Arial Narrow" w:eastAsia="Arial Narrow" w:hAnsi="Arial Narrow"/>
          <w:b/>
          <w:color w:val="000000"/>
          <w:spacing w:val="3"/>
          <w:sz w:val="15"/>
          <w:lang w:val="it-IT"/>
        </w:rPr>
        <w:t>13. OBBLIGHI DI RISERVATEZZA</w:t>
      </w:r>
    </w:p>
    <w:p w:rsidR="004324AD" w:rsidRDefault="00374F55">
      <w:pPr>
        <w:spacing w:line="180" w:lineRule="exact"/>
        <w:jc w:val="both"/>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Tutte le notizie inerenti al know-how di cui il Fornitore è titolare, nonché le altre informazioni aziendali e commerciali, di cui l’Acquirente verrà a conoscenza nel corso delle trattative e dell’esecuzione del contratto devono intendersi riservate e non utilizzabili né direttamente, né indirettamente dall’Acquirente, se non nei limiti necessari per la corretta esecuzione del contratto né dovranno essere rivelate a terzi. Nei dati riservati si intendono comprese le notizie relative agli impianti, ai mezzi di produzione ed agli altri beni aziendali del Fornitore, nonché ai modelli ed all’organizzazione della produzione ed ai servizi resi dal Fornitore, alle iniziative commerciali, alla clientela, alla gestione e all’andamento dell’azienda del Fornitore, ai rapporti con i terzi e così via. L’Acquirente si impegna ad adottare ogni ragionevole precauzione per tenere tali informazioni segrete, comunicandole solo ai propri dipendenti sotto vincolo di segretezza.</w:t>
      </w:r>
    </w:p>
    <w:p w:rsidR="004324AD" w:rsidRDefault="00374F55">
      <w:pPr>
        <w:spacing w:before="387" w:line="155" w:lineRule="exact"/>
        <w:textAlignment w:val="baseline"/>
        <w:rPr>
          <w:rFonts w:ascii="Arial Narrow" w:eastAsia="Arial Narrow" w:hAnsi="Arial Narrow"/>
          <w:b/>
          <w:color w:val="000000"/>
          <w:spacing w:val="4"/>
          <w:sz w:val="15"/>
          <w:lang w:val="it-IT"/>
        </w:rPr>
      </w:pPr>
      <w:r>
        <w:rPr>
          <w:rFonts w:ascii="Arial Narrow" w:eastAsia="Arial Narrow" w:hAnsi="Arial Narrow"/>
          <w:b/>
          <w:color w:val="000000"/>
          <w:spacing w:val="4"/>
          <w:sz w:val="15"/>
          <w:lang w:val="it-IT"/>
        </w:rPr>
        <w:t>14. CONFORMITA’ PRODOTTI. MIGLIORIE E MODIFICHE</w:t>
      </w:r>
    </w:p>
    <w:p w:rsidR="004324AD" w:rsidRDefault="00374F55">
      <w:pPr>
        <w:spacing w:line="179" w:lineRule="exact"/>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La conformità dei prodotti a campioni e/o illustrazioni presenti nei listini prezzi, cataloghi o in documenti similari non deve intendersi in senso tassativo. In particolare, l’aspetto estetico dei prodotti potrà presentare difformità rispetto a campioni in possesso e/o immagini presenti nella citata documentazione. Inoltre, anche rispetto ai dati e alle informazioni forniti nella documentazione sopra richiamata, il Fornitore si riserva il diritto di apportare ai propri prodotti tutte le migliorie e modifiche, anche estetiche, ritenute opportune o necessarie, senza che per questo l’Acquirente possa sollevare contestazioni o abbia il diritto di risolvere eventuali ordini in corso e/o pretendere indennizzi e/o richiedere riduzioni del prezzo pattuito.</w:t>
      </w:r>
    </w:p>
    <w:p w:rsidR="004324AD" w:rsidRDefault="00374F55">
      <w:pPr>
        <w:spacing w:before="387" w:line="155" w:lineRule="exact"/>
        <w:jc w:val="both"/>
        <w:textAlignment w:val="baseline"/>
        <w:rPr>
          <w:rFonts w:ascii="Arial Narrow" w:eastAsia="Arial Narrow" w:hAnsi="Arial Narrow"/>
          <w:b/>
          <w:color w:val="000000"/>
          <w:spacing w:val="3"/>
          <w:sz w:val="15"/>
          <w:lang w:val="it-IT"/>
        </w:rPr>
      </w:pPr>
      <w:r>
        <w:rPr>
          <w:rFonts w:ascii="Arial Narrow" w:eastAsia="Arial Narrow" w:hAnsi="Arial Narrow"/>
          <w:b/>
          <w:color w:val="000000"/>
          <w:spacing w:val="3"/>
          <w:sz w:val="15"/>
          <w:lang w:val="it-IT"/>
        </w:rPr>
        <w:t>15. DIRITTI DELLA PROPRIETÀ INTELLETTUALE</w:t>
      </w:r>
    </w:p>
    <w:p w:rsidR="004324AD" w:rsidRDefault="00374F55">
      <w:pPr>
        <w:spacing w:line="180" w:lineRule="exact"/>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Nel corso della durata del contratto e successivamente alla sua cessazione l’Acquirente non rivelerà, pubblicherà o divulgherà, copierà, imiterà o utilizzerà in qualsiasi modo una qualsiasi parte dei disegni o del know-how tecnico di proprietà del Fornitore.</w:t>
      </w:r>
    </w:p>
    <w:p w:rsidR="004324AD" w:rsidRDefault="00374F55">
      <w:pPr>
        <w:spacing w:line="179" w:lineRule="exact"/>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 xml:space="preserve">Il know how derivante da eventuali sviluppi o implementazioni di prodotto ideate dal Fornitore nell’esecuzione del presente contratto sono considerati di sua esclusiva proprietà senza che l’Acquirente possa vantare alcuna pretesa di titolarità o di sfruttamento economico </w:t>
      </w:r>
      <w:r w:rsidR="001F7840">
        <w:rPr>
          <w:rFonts w:ascii="Arial Narrow" w:eastAsia="Arial Narrow" w:hAnsi="Arial Narrow"/>
          <w:color w:val="000000"/>
          <w:spacing w:val="7"/>
          <w:sz w:val="15"/>
          <w:lang w:val="it-IT"/>
        </w:rPr>
        <w:t>né</w:t>
      </w:r>
      <w:r>
        <w:rPr>
          <w:rFonts w:ascii="Arial Narrow" w:eastAsia="Arial Narrow" w:hAnsi="Arial Narrow"/>
          <w:color w:val="000000"/>
          <w:spacing w:val="7"/>
          <w:sz w:val="15"/>
          <w:lang w:val="it-IT"/>
        </w:rPr>
        <w:t xml:space="preserve"> pretendere compenso o indennizzo alcuno. Tutti i costi, i danni, le spese e le perdite subite dal Fornitore in conseguenza di qualsiasi lesione dei diritti di marchio o sui modelli e disegni o in conseguenza di una impropria divulgazione di know-how, connessi al presente contratto o all’uso dei Prodotti, sono a carico dell’Acquirente. L’Acquirente </w:t>
      </w:r>
      <w:r w:rsidR="001F7840">
        <w:rPr>
          <w:rFonts w:ascii="Arial Narrow" w:eastAsia="Arial Narrow" w:hAnsi="Arial Narrow"/>
          <w:color w:val="000000"/>
          <w:spacing w:val="7"/>
          <w:sz w:val="15"/>
          <w:lang w:val="it-IT"/>
        </w:rPr>
        <w:t>è</w:t>
      </w:r>
      <w:r>
        <w:rPr>
          <w:rFonts w:ascii="Arial Narrow" w:eastAsia="Arial Narrow" w:hAnsi="Arial Narrow"/>
          <w:color w:val="000000"/>
          <w:spacing w:val="7"/>
          <w:sz w:val="15"/>
          <w:lang w:val="it-IT"/>
        </w:rPr>
        <w:t xml:space="preserve"> tenuto, senza ritardo, a comunicare al Fornitore qualsiasi notizia, fatto od opinione che possa essere rilevante ai fini della protezione dei diritti, di marchio, o sui modelli e disegni e sul know-how. L’Acquirente esonera, inoltre, da responsabilità il Fornitore da eventuali pretese avanzate da terzi nei confronti di questo e fondate sull’asserita violazione di diritti di proprietà intellettuale o industriale.</w:t>
      </w:r>
    </w:p>
    <w:p w:rsidR="004324AD" w:rsidRDefault="00374F55">
      <w:pPr>
        <w:spacing w:before="387" w:line="155" w:lineRule="exact"/>
        <w:textAlignment w:val="baseline"/>
        <w:rPr>
          <w:rFonts w:ascii="Arial Narrow" w:eastAsia="Arial Narrow" w:hAnsi="Arial Narrow"/>
          <w:b/>
          <w:color w:val="000000"/>
          <w:spacing w:val="3"/>
          <w:sz w:val="15"/>
          <w:lang w:val="it-IT"/>
        </w:rPr>
      </w:pPr>
      <w:r>
        <w:rPr>
          <w:rFonts w:ascii="Arial Narrow" w:eastAsia="Arial Narrow" w:hAnsi="Arial Narrow"/>
          <w:b/>
          <w:color w:val="000000"/>
          <w:spacing w:val="3"/>
          <w:sz w:val="15"/>
          <w:lang w:val="it-IT"/>
        </w:rPr>
        <w:t>16. LINGUA</w:t>
      </w:r>
    </w:p>
    <w:p w:rsidR="004324AD" w:rsidRDefault="00374F55">
      <w:pPr>
        <w:spacing w:before="23" w:after="751" w:line="155" w:lineRule="exact"/>
        <w:textAlignment w:val="baseline"/>
        <w:rPr>
          <w:rFonts w:ascii="Arial Narrow" w:eastAsia="Arial Narrow" w:hAnsi="Arial Narrow"/>
          <w:color w:val="000000"/>
          <w:spacing w:val="6"/>
          <w:sz w:val="15"/>
          <w:lang w:val="it-IT"/>
        </w:rPr>
      </w:pPr>
      <w:r>
        <w:rPr>
          <w:rFonts w:ascii="Arial Narrow" w:eastAsia="Arial Narrow" w:hAnsi="Arial Narrow"/>
          <w:color w:val="000000"/>
          <w:spacing w:val="6"/>
          <w:sz w:val="15"/>
          <w:lang w:val="it-IT"/>
        </w:rPr>
        <w:t>La versione originale delle presenti Condizioni di Vendita è in lingua italiana.</w:t>
      </w:r>
    </w:p>
    <w:tbl>
      <w:tblPr>
        <w:tblW w:w="0" w:type="auto"/>
        <w:tblLayout w:type="fixed"/>
        <w:tblCellMar>
          <w:left w:w="0" w:type="dxa"/>
          <w:right w:w="0" w:type="dxa"/>
        </w:tblCellMar>
        <w:tblLook w:val="0000" w:firstRow="0" w:lastRow="0" w:firstColumn="0" w:lastColumn="0" w:noHBand="0" w:noVBand="0"/>
      </w:tblPr>
      <w:tblGrid>
        <w:gridCol w:w="2639"/>
        <w:gridCol w:w="4439"/>
        <w:gridCol w:w="1917"/>
        <w:gridCol w:w="725"/>
      </w:tblGrid>
      <w:tr w:rsidR="004324AD" w:rsidRPr="00295C61">
        <w:trPr>
          <w:trHeight w:hRule="exact" w:val="43"/>
        </w:trPr>
        <w:tc>
          <w:tcPr>
            <w:tcW w:w="2639"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4439"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1917" w:type="dxa"/>
            <w:tcBorders>
              <w:top w:val="none" w:sz="0" w:space="0" w:color="000000"/>
              <w:left w:val="none" w:sz="0" w:space="0" w:color="000000"/>
              <w:bottom w:val="none" w:sz="0" w:space="0" w:color="000000"/>
              <w:right w:val="none" w:sz="0" w:space="0" w:color="000000"/>
            </w:tcBorders>
          </w:tcPr>
          <w:p w:rsidR="004324AD" w:rsidRPr="009C4613" w:rsidRDefault="004324AD">
            <w:pPr>
              <w:rPr>
                <w:lang w:val="it-IT"/>
              </w:rPr>
            </w:pPr>
          </w:p>
        </w:tc>
        <w:tc>
          <w:tcPr>
            <w:tcW w:w="725" w:type="dxa"/>
            <w:vMerge w:val="restart"/>
            <w:tcBorders>
              <w:top w:val="none" w:sz="0" w:space="0" w:color="000000"/>
              <w:left w:val="none" w:sz="0" w:space="0" w:color="000000"/>
              <w:bottom w:val="single" w:sz="0" w:space="0" w:color="000000"/>
              <w:right w:val="none" w:sz="0" w:space="0" w:color="000000"/>
            </w:tcBorders>
          </w:tcPr>
          <w:p w:rsidR="004324AD" w:rsidRPr="00295C61" w:rsidRDefault="004324AD">
            <w:pPr>
              <w:ind w:right="44"/>
              <w:jc w:val="center"/>
              <w:textAlignment w:val="baseline"/>
              <w:rPr>
                <w:lang w:val="it-IT"/>
              </w:rPr>
            </w:pPr>
          </w:p>
        </w:tc>
      </w:tr>
      <w:tr w:rsidR="004324AD" w:rsidRPr="00295C61">
        <w:trPr>
          <w:trHeight w:hRule="exact" w:val="735"/>
        </w:trPr>
        <w:tc>
          <w:tcPr>
            <w:tcW w:w="8995" w:type="dxa"/>
            <w:gridSpan w:val="3"/>
            <w:tcBorders>
              <w:top w:val="none" w:sz="0" w:space="0" w:color="000000"/>
              <w:left w:val="none" w:sz="0" w:space="0" w:color="000000"/>
              <w:bottom w:val="none" w:sz="0" w:space="0" w:color="000000"/>
              <w:right w:val="none" w:sz="0" w:space="0" w:color="000000"/>
            </w:tcBorders>
          </w:tcPr>
          <w:p w:rsidR="004324AD" w:rsidRDefault="004324AD">
            <w:pPr>
              <w:spacing w:before="37" w:after="89" w:line="155" w:lineRule="exact"/>
              <w:ind w:right="1480"/>
              <w:jc w:val="right"/>
              <w:textAlignment w:val="baseline"/>
              <w:rPr>
                <w:rFonts w:ascii="Arial Narrow" w:eastAsia="Arial Narrow" w:hAnsi="Arial Narrow"/>
                <w:color w:val="403F40"/>
                <w:sz w:val="15"/>
                <w:lang w:val="it-IT"/>
              </w:rPr>
            </w:pPr>
          </w:p>
        </w:tc>
        <w:tc>
          <w:tcPr>
            <w:tcW w:w="725" w:type="dxa"/>
            <w:vMerge/>
            <w:tcBorders>
              <w:top w:val="single" w:sz="0" w:space="0" w:color="000000"/>
              <w:left w:val="none" w:sz="0" w:space="0" w:color="000000"/>
              <w:bottom w:val="none" w:sz="0" w:space="0" w:color="000000"/>
              <w:right w:val="none" w:sz="0" w:space="0" w:color="000000"/>
            </w:tcBorders>
          </w:tcPr>
          <w:p w:rsidR="004324AD" w:rsidRPr="00295C61" w:rsidRDefault="004324AD">
            <w:pPr>
              <w:rPr>
                <w:lang w:val="it-IT"/>
              </w:rPr>
            </w:pPr>
          </w:p>
        </w:tc>
      </w:tr>
      <w:tr w:rsidR="004324AD">
        <w:trPr>
          <w:trHeight w:hRule="exact" w:val="263"/>
        </w:trPr>
        <w:tc>
          <w:tcPr>
            <w:tcW w:w="2639" w:type="dxa"/>
            <w:tcBorders>
              <w:top w:val="none" w:sz="0" w:space="0" w:color="000000"/>
              <w:left w:val="none" w:sz="0" w:space="0" w:color="000000"/>
              <w:bottom w:val="none" w:sz="0" w:space="0" w:color="000000"/>
              <w:right w:val="none" w:sz="0" w:space="0" w:color="000000"/>
            </w:tcBorders>
          </w:tcPr>
          <w:p w:rsidR="004324AD" w:rsidRPr="00295C61" w:rsidRDefault="004324AD">
            <w:pPr>
              <w:rPr>
                <w:lang w:val="it-IT"/>
              </w:rPr>
            </w:pPr>
          </w:p>
        </w:tc>
        <w:tc>
          <w:tcPr>
            <w:tcW w:w="4439" w:type="dxa"/>
            <w:tcBorders>
              <w:top w:val="none" w:sz="0" w:space="0" w:color="000000"/>
              <w:left w:val="none" w:sz="0" w:space="0" w:color="000000"/>
              <w:bottom w:val="none" w:sz="0" w:space="0" w:color="000000"/>
              <w:right w:val="none" w:sz="0" w:space="0" w:color="000000"/>
            </w:tcBorders>
            <w:vAlign w:val="center"/>
          </w:tcPr>
          <w:p w:rsidR="004324AD" w:rsidRDefault="0026149A">
            <w:pPr>
              <w:spacing w:before="87" w:after="7" w:line="155" w:lineRule="exact"/>
              <w:jc w:val="center"/>
              <w:textAlignment w:val="baseline"/>
              <w:rPr>
                <w:rFonts w:ascii="Arial Narrow" w:eastAsia="Arial Narrow" w:hAnsi="Arial Narrow"/>
                <w:color w:val="403F40"/>
                <w:sz w:val="15"/>
                <w:lang w:val="it-IT"/>
              </w:rPr>
            </w:pPr>
            <w:r>
              <w:rPr>
                <w:rFonts w:ascii="Arial Narrow" w:eastAsia="Arial Narrow" w:hAnsi="Arial Narrow"/>
                <w:color w:val="403F40"/>
                <w:sz w:val="15"/>
                <w:lang w:val="it-IT"/>
              </w:rPr>
              <w:t>P</w:t>
            </w:r>
            <w:r w:rsidR="00374F55">
              <w:rPr>
                <w:rFonts w:ascii="Arial Narrow" w:eastAsia="Arial Narrow" w:hAnsi="Arial Narrow"/>
                <w:color w:val="403F40"/>
                <w:sz w:val="15"/>
                <w:lang w:val="it-IT"/>
              </w:rPr>
              <w:t>ag</w:t>
            </w:r>
            <w:r>
              <w:rPr>
                <w:rFonts w:ascii="Arial Narrow" w:eastAsia="Arial Narrow" w:hAnsi="Arial Narrow"/>
                <w:color w:val="403F40"/>
                <w:sz w:val="15"/>
                <w:lang w:val="it-IT"/>
              </w:rPr>
              <w:t>.</w:t>
            </w:r>
            <w:r w:rsidR="00374F55">
              <w:rPr>
                <w:rFonts w:ascii="Arial Narrow" w:eastAsia="Arial Narrow" w:hAnsi="Arial Narrow"/>
                <w:color w:val="403F40"/>
                <w:sz w:val="15"/>
                <w:lang w:val="it-IT"/>
              </w:rPr>
              <w:t xml:space="preserve"> | 3</w:t>
            </w:r>
          </w:p>
        </w:tc>
        <w:tc>
          <w:tcPr>
            <w:tcW w:w="1917" w:type="dxa"/>
            <w:tcBorders>
              <w:top w:val="none" w:sz="0" w:space="0" w:color="000000"/>
              <w:left w:val="none" w:sz="0" w:space="0" w:color="000000"/>
              <w:bottom w:val="none" w:sz="0" w:space="0" w:color="000000"/>
              <w:right w:val="none" w:sz="0" w:space="0" w:color="000000"/>
            </w:tcBorders>
          </w:tcPr>
          <w:p w:rsidR="004324AD" w:rsidRDefault="004324AD"/>
        </w:tc>
        <w:tc>
          <w:tcPr>
            <w:tcW w:w="725" w:type="dxa"/>
            <w:tcBorders>
              <w:top w:val="none" w:sz="0" w:space="0" w:color="000000"/>
              <w:left w:val="none" w:sz="0" w:space="0" w:color="000000"/>
              <w:bottom w:val="none" w:sz="0" w:space="0" w:color="000000"/>
              <w:right w:val="none" w:sz="0" w:space="0" w:color="000000"/>
            </w:tcBorders>
          </w:tcPr>
          <w:p w:rsidR="004324AD" w:rsidRDefault="004324AD"/>
        </w:tc>
      </w:tr>
    </w:tbl>
    <w:p w:rsidR="004324AD" w:rsidRDefault="004324AD">
      <w:pPr>
        <w:sectPr w:rsidR="004324AD">
          <w:pgSz w:w="11909" w:h="16838"/>
          <w:pgMar w:top="520" w:right="1094" w:bottom="59" w:left="1095" w:header="720" w:footer="720" w:gutter="0"/>
          <w:cols w:space="720"/>
        </w:sectPr>
      </w:pPr>
    </w:p>
    <w:tbl>
      <w:tblPr>
        <w:tblW w:w="0" w:type="auto"/>
        <w:tblLayout w:type="fixed"/>
        <w:tblCellMar>
          <w:left w:w="0" w:type="dxa"/>
          <w:right w:w="0" w:type="dxa"/>
        </w:tblCellMar>
        <w:tblLook w:val="0000" w:firstRow="0" w:lastRow="0" w:firstColumn="0" w:lastColumn="0" w:noHBand="0" w:noVBand="0"/>
      </w:tblPr>
      <w:tblGrid>
        <w:gridCol w:w="5663"/>
        <w:gridCol w:w="4057"/>
      </w:tblGrid>
      <w:tr w:rsidR="004324AD">
        <w:trPr>
          <w:trHeight w:hRule="exact" w:val="1131"/>
        </w:trPr>
        <w:tc>
          <w:tcPr>
            <w:tcW w:w="5663" w:type="dxa"/>
            <w:tcBorders>
              <w:top w:val="none" w:sz="0" w:space="0" w:color="000000"/>
              <w:left w:val="none" w:sz="0" w:space="0" w:color="000000"/>
              <w:bottom w:val="none" w:sz="0" w:space="0" w:color="000000"/>
              <w:right w:val="none" w:sz="0" w:space="0" w:color="000000"/>
            </w:tcBorders>
          </w:tcPr>
          <w:p w:rsidR="004324AD" w:rsidRDefault="00295C61">
            <w:pPr>
              <w:spacing w:before="18"/>
              <w:textAlignment w:val="baseline"/>
            </w:pPr>
            <w:r>
              <w:rPr>
                <w:noProof/>
                <w:lang w:val="it-IT" w:eastAsia="it-IT"/>
              </w:rPr>
              <w:lastRenderedPageBreak/>
              <w:drawing>
                <wp:inline distT="0" distB="0" distL="0" distR="0" wp14:anchorId="4B0C27B2">
                  <wp:extent cx="1347470" cy="617951"/>
                  <wp:effectExtent l="0" t="0" r="508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1081" cy="624193"/>
                          </a:xfrm>
                          <a:prstGeom prst="rect">
                            <a:avLst/>
                          </a:prstGeom>
                          <a:noFill/>
                        </pic:spPr>
                      </pic:pic>
                    </a:graphicData>
                  </a:graphic>
                </wp:inline>
              </w:drawing>
            </w:r>
          </w:p>
        </w:tc>
        <w:tc>
          <w:tcPr>
            <w:tcW w:w="4057" w:type="dxa"/>
            <w:tcBorders>
              <w:top w:val="none" w:sz="0" w:space="0" w:color="000000"/>
              <w:left w:val="none" w:sz="0" w:space="0" w:color="000000"/>
              <w:bottom w:val="none" w:sz="0" w:space="0" w:color="000000"/>
              <w:right w:val="none" w:sz="0" w:space="0" w:color="000000"/>
            </w:tcBorders>
          </w:tcPr>
          <w:p w:rsidR="004324AD" w:rsidRDefault="004324AD">
            <w:pPr>
              <w:spacing w:before="18"/>
              <w:jc w:val="right"/>
              <w:textAlignment w:val="baseline"/>
            </w:pPr>
          </w:p>
        </w:tc>
      </w:tr>
      <w:tr w:rsidR="004324AD">
        <w:trPr>
          <w:trHeight w:hRule="exact" w:val="225"/>
        </w:trPr>
        <w:tc>
          <w:tcPr>
            <w:tcW w:w="5663" w:type="dxa"/>
            <w:tcBorders>
              <w:top w:val="none" w:sz="0" w:space="0" w:color="000000"/>
              <w:left w:val="none" w:sz="0" w:space="0" w:color="000000"/>
              <w:bottom w:val="none" w:sz="0" w:space="0" w:color="000000"/>
              <w:right w:val="none" w:sz="0" w:space="0" w:color="000000"/>
            </w:tcBorders>
          </w:tcPr>
          <w:p w:rsidR="004324AD" w:rsidRDefault="004324AD"/>
        </w:tc>
        <w:tc>
          <w:tcPr>
            <w:tcW w:w="4057" w:type="dxa"/>
            <w:tcBorders>
              <w:top w:val="none" w:sz="0" w:space="0" w:color="000000"/>
              <w:left w:val="none" w:sz="0" w:space="0" w:color="000000"/>
              <w:bottom w:val="none" w:sz="0" w:space="0" w:color="000000"/>
              <w:right w:val="none" w:sz="0" w:space="0" w:color="000000"/>
            </w:tcBorders>
            <w:vAlign w:val="center"/>
          </w:tcPr>
          <w:p w:rsidR="004324AD" w:rsidRDefault="004324AD">
            <w:pPr>
              <w:spacing w:before="63" w:after="3" w:line="155" w:lineRule="exact"/>
              <w:ind w:right="274"/>
              <w:jc w:val="right"/>
              <w:textAlignment w:val="baseline"/>
              <w:rPr>
                <w:rFonts w:ascii="Arial Narrow" w:eastAsia="Arial Narrow" w:hAnsi="Arial Narrow"/>
                <w:color w:val="403F40"/>
                <w:sz w:val="15"/>
                <w:lang w:val="it-IT"/>
              </w:rPr>
            </w:pPr>
          </w:p>
        </w:tc>
      </w:tr>
    </w:tbl>
    <w:p w:rsidR="004324AD" w:rsidRDefault="004324AD">
      <w:pPr>
        <w:spacing w:after="196" w:line="20" w:lineRule="exact"/>
      </w:pPr>
    </w:p>
    <w:p w:rsidR="004324AD" w:rsidRDefault="00374F55">
      <w:pPr>
        <w:numPr>
          <w:ilvl w:val="0"/>
          <w:numId w:val="7"/>
        </w:numPr>
        <w:spacing w:before="11" w:line="155" w:lineRule="exact"/>
        <w:textAlignment w:val="baseline"/>
        <w:rPr>
          <w:rFonts w:ascii="Arial Narrow" w:eastAsia="Arial Narrow" w:hAnsi="Arial Narrow"/>
          <w:b/>
          <w:color w:val="000000"/>
          <w:spacing w:val="3"/>
          <w:sz w:val="15"/>
          <w:lang w:val="it-IT"/>
        </w:rPr>
      </w:pPr>
      <w:r>
        <w:rPr>
          <w:rFonts w:ascii="Arial Narrow" w:eastAsia="Arial Narrow" w:hAnsi="Arial Narrow"/>
          <w:b/>
          <w:color w:val="000000"/>
          <w:spacing w:val="3"/>
          <w:sz w:val="15"/>
          <w:lang w:val="it-IT"/>
        </w:rPr>
        <w:t>LEGGE APPLICABILE</w:t>
      </w:r>
    </w:p>
    <w:p w:rsidR="004324AD" w:rsidRDefault="00374F55">
      <w:pPr>
        <w:spacing w:before="27"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Il contratto è disciplinato dalla legge italiana.</w:t>
      </w:r>
    </w:p>
    <w:p w:rsidR="004324AD" w:rsidRDefault="00374F55">
      <w:pPr>
        <w:numPr>
          <w:ilvl w:val="0"/>
          <w:numId w:val="7"/>
        </w:numPr>
        <w:spacing w:before="383" w:line="155" w:lineRule="exact"/>
        <w:textAlignment w:val="baseline"/>
        <w:rPr>
          <w:rFonts w:ascii="Arial Narrow" w:eastAsia="Arial Narrow" w:hAnsi="Arial Narrow"/>
          <w:b/>
          <w:color w:val="000000"/>
          <w:spacing w:val="5"/>
          <w:sz w:val="15"/>
          <w:lang w:val="it-IT"/>
        </w:rPr>
      </w:pPr>
      <w:r>
        <w:rPr>
          <w:rFonts w:ascii="Arial Narrow" w:eastAsia="Arial Narrow" w:hAnsi="Arial Narrow"/>
          <w:b/>
          <w:color w:val="000000"/>
          <w:spacing w:val="5"/>
          <w:sz w:val="15"/>
          <w:lang w:val="it-IT"/>
        </w:rPr>
        <w:t>FORO COMPETENTE</w:t>
      </w:r>
    </w:p>
    <w:p w:rsidR="004324AD" w:rsidRDefault="00374F55">
      <w:pPr>
        <w:spacing w:before="27"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Tutte le controversie relative alla interpretazione ed alla esecuzione del contratto sono devolute alla competenza esclusiva dell’Autorità Giudiziaria italiana</w:t>
      </w:r>
    </w:p>
    <w:p w:rsidR="004324AD" w:rsidRDefault="00374F55">
      <w:pPr>
        <w:spacing w:before="23" w:line="155" w:lineRule="exact"/>
        <w:textAlignment w:val="baseline"/>
        <w:rPr>
          <w:rFonts w:ascii="Arial Narrow" w:eastAsia="Arial Narrow" w:hAnsi="Arial Narrow"/>
          <w:color w:val="000000"/>
          <w:spacing w:val="5"/>
          <w:sz w:val="15"/>
          <w:lang w:val="it-IT"/>
        </w:rPr>
      </w:pPr>
      <w:r>
        <w:rPr>
          <w:rFonts w:ascii="Arial Narrow" w:eastAsia="Arial Narrow" w:hAnsi="Arial Narrow"/>
          <w:color w:val="000000"/>
          <w:spacing w:val="5"/>
          <w:sz w:val="15"/>
          <w:lang w:val="it-IT"/>
        </w:rPr>
        <w:t>del Foro di Vicenza.</w:t>
      </w:r>
    </w:p>
    <w:p w:rsidR="004324AD" w:rsidRDefault="00374F55">
      <w:pPr>
        <w:numPr>
          <w:ilvl w:val="0"/>
          <w:numId w:val="7"/>
        </w:numPr>
        <w:spacing w:before="387" w:line="155" w:lineRule="exact"/>
        <w:textAlignment w:val="baseline"/>
        <w:rPr>
          <w:rFonts w:ascii="Arial Narrow" w:eastAsia="Arial Narrow" w:hAnsi="Arial Narrow"/>
          <w:b/>
          <w:color w:val="000000"/>
          <w:spacing w:val="4"/>
          <w:sz w:val="15"/>
          <w:lang w:val="it-IT"/>
        </w:rPr>
      </w:pPr>
      <w:r>
        <w:rPr>
          <w:rFonts w:ascii="Arial Narrow" w:eastAsia="Arial Narrow" w:hAnsi="Arial Narrow"/>
          <w:b/>
          <w:color w:val="000000"/>
          <w:spacing w:val="4"/>
          <w:sz w:val="15"/>
          <w:lang w:val="it-IT"/>
        </w:rPr>
        <w:t>TUTELA DEI DATI PERSONALI</w:t>
      </w:r>
    </w:p>
    <w:p w:rsidR="004324AD" w:rsidRDefault="00374F55">
      <w:pPr>
        <w:spacing w:line="180" w:lineRule="exact"/>
        <w:jc w:val="both"/>
        <w:textAlignment w:val="baseline"/>
        <w:rPr>
          <w:rFonts w:ascii="Arial Narrow" w:eastAsia="Arial Narrow" w:hAnsi="Arial Narrow"/>
          <w:color w:val="000000"/>
          <w:spacing w:val="8"/>
          <w:sz w:val="15"/>
          <w:lang w:val="it-IT"/>
        </w:rPr>
      </w:pPr>
      <w:r>
        <w:rPr>
          <w:rFonts w:ascii="Arial Narrow" w:eastAsia="Arial Narrow" w:hAnsi="Arial Narrow"/>
          <w:color w:val="000000"/>
          <w:spacing w:val="8"/>
          <w:sz w:val="15"/>
          <w:lang w:val="it-IT"/>
        </w:rPr>
        <w:t xml:space="preserve">L’Acquirente, dichiara di essere stato informato di tutti gli elementi previsti agli art. 13 e 14 del Regolamento UE n. 679/2016 in </w:t>
      </w:r>
      <w:r w:rsidR="001F7840">
        <w:rPr>
          <w:rFonts w:ascii="Arial Narrow" w:eastAsia="Arial Narrow" w:hAnsi="Arial Narrow"/>
          <w:color w:val="000000"/>
          <w:spacing w:val="8"/>
          <w:sz w:val="15"/>
          <w:lang w:val="it-IT"/>
        </w:rPr>
        <w:t>materia</w:t>
      </w:r>
      <w:r>
        <w:rPr>
          <w:rFonts w:ascii="Arial Narrow" w:eastAsia="Arial Narrow" w:hAnsi="Arial Narrow"/>
          <w:color w:val="000000"/>
          <w:spacing w:val="8"/>
          <w:sz w:val="15"/>
          <w:lang w:val="it-IT"/>
        </w:rPr>
        <w:t xml:space="preserve"> di protezione dei dati personali e all’art.13 del Decreto Legislativo del 30 Giugno 2003 n.196, e presta il consenso, ai sensi dell’art.23 del Decreto citato, a che i dati personali/ aziendali vengano trattati ad sensi della legge ed eventualmente comunicati a terzi e/o trasferiti in paesi all’interno dell’Union Europea o in paesi terzi ai sensi degli articoli 42 e 43 del Decreto, in particolare a soggetti stranieri, anche extracomunitari, la cui collaborazione dovesse rendersi necessaria. L’Acquirente autorizza espressamente il Fornitore a indicare nel suo materiale pubblicitario, inserti, articoli di giornale o riviste, il suo nominativo quale ditta acquirente dei Prodotti del Fornitore.</w:t>
      </w:r>
    </w:p>
    <w:p w:rsidR="004324AD" w:rsidRDefault="00374F55">
      <w:pPr>
        <w:spacing w:before="205" w:line="155" w:lineRule="exact"/>
        <w:textAlignment w:val="baseline"/>
        <w:rPr>
          <w:rFonts w:ascii="Arial Narrow" w:eastAsia="Arial Narrow" w:hAnsi="Arial Narrow"/>
          <w:b/>
          <w:color w:val="000000"/>
          <w:spacing w:val="3"/>
          <w:sz w:val="15"/>
          <w:lang w:val="it-IT"/>
        </w:rPr>
      </w:pPr>
      <w:r>
        <w:rPr>
          <w:rFonts w:ascii="Arial Narrow" w:eastAsia="Arial Narrow" w:hAnsi="Arial Narrow"/>
          <w:b/>
          <w:color w:val="000000"/>
          <w:spacing w:val="3"/>
          <w:sz w:val="15"/>
          <w:lang w:val="it-IT"/>
        </w:rPr>
        <w:t>CLAUSOLA FINALE</w:t>
      </w:r>
    </w:p>
    <w:p w:rsidR="004324AD" w:rsidRDefault="00374F55">
      <w:pPr>
        <w:spacing w:before="23" w:line="155" w:lineRule="exact"/>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Queste Condizioni Generali sostituiscono e prevalgono su ogni pattuizione intercorsa tra Fornitore ed Acquirente in precedenza.</w:t>
      </w:r>
    </w:p>
    <w:p w:rsidR="004324AD" w:rsidRDefault="00374F55">
      <w:pPr>
        <w:tabs>
          <w:tab w:val="left" w:leader="underscore" w:pos="2952"/>
        </w:tabs>
        <w:spacing w:before="253" w:line="155" w:lineRule="exact"/>
        <w:textAlignment w:val="baseline"/>
        <w:rPr>
          <w:rFonts w:ascii="Arial Narrow" w:eastAsia="Arial Narrow" w:hAnsi="Arial Narrow"/>
          <w:color w:val="000000"/>
          <w:sz w:val="15"/>
          <w:lang w:val="it-IT"/>
        </w:rPr>
      </w:pPr>
      <w:r>
        <w:rPr>
          <w:rFonts w:ascii="Arial Narrow" w:eastAsia="Arial Narrow" w:hAnsi="Arial Narrow"/>
          <w:color w:val="000000"/>
          <w:sz w:val="15"/>
          <w:lang w:val="it-IT"/>
        </w:rPr>
        <w:t xml:space="preserve">DATA </w:t>
      </w:r>
      <w:r>
        <w:rPr>
          <w:rFonts w:ascii="Arial Narrow" w:eastAsia="Arial Narrow" w:hAnsi="Arial Narrow"/>
          <w:color w:val="000000"/>
          <w:sz w:val="15"/>
          <w:lang w:val="it-IT"/>
        </w:rPr>
        <w:tab/>
        <w:t xml:space="preserve"> </w:t>
      </w:r>
    </w:p>
    <w:p w:rsidR="004324AD" w:rsidRDefault="00F51EBF">
      <w:pPr>
        <w:tabs>
          <w:tab w:val="left" w:leader="underscore" w:pos="4968"/>
        </w:tabs>
        <w:spacing w:before="359" w:line="155" w:lineRule="exact"/>
        <w:textAlignment w:val="baseline"/>
        <w:rPr>
          <w:rFonts w:ascii="Arial Narrow" w:eastAsia="Arial Narrow" w:hAnsi="Arial Narrow"/>
          <w:color w:val="000000"/>
          <w:spacing w:val="-1"/>
          <w:sz w:val="15"/>
          <w:lang w:val="it-IT"/>
        </w:rPr>
      </w:pPr>
      <w:r>
        <w:rPr>
          <w:noProof/>
          <w:lang w:val="it-IT" w:eastAsia="it-IT"/>
        </w:rPr>
        <mc:AlternateContent>
          <mc:Choice Requires="wps">
            <w:drawing>
              <wp:anchor distT="0" distB="0" distL="114300" distR="114300" simplePos="0" relativeHeight="251657728" behindDoc="0" locked="0" layoutInCell="1" allowOverlap="1">
                <wp:simplePos x="0" y="0"/>
                <wp:positionH relativeFrom="page">
                  <wp:posOffset>4578350</wp:posOffset>
                </wp:positionH>
                <wp:positionV relativeFrom="page">
                  <wp:posOffset>4060190</wp:posOffset>
                </wp:positionV>
                <wp:extent cx="2265045"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5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1EE81"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0.5pt,319.7pt" to="538.85pt,3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AxEgIAACgEAAAOAAAAZHJzL2Uyb0RvYy54bWysU02P2yAQvVfqf0DcE3+sk2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VnGCnS&#10;g0TPQnGUh84MxpUQUKutDbXRk3oxz5p+d0jpuiNqzyPD17OBtCxkJG9SwsYZwN8NnzWDGHLwOrbp&#10;1No+QEID0Cmqcb6pwU8eUTjM8/ksLYAWHX0JKcdEY53/xHWPglFhCZwjMDk+Ox+IkHIMCfcovRFS&#10;RrGlQkOF5w+zNCY4LQULzhDm7H5XS4uOJIxL/GJV4LkPs/qgWATrOGHrq+2JkBcbLpcq4EEpQOdq&#10;Xebhx2P6uF6sF8WkyOfrSZE2zeTjpi4m8032YdY8NHXdZD8DtawoO8EYV4HdOJtZ8XfaX1/JZapu&#10;03lrQ/IWPfYLyI7/SDpqGeS7DMJOs/PWjhrDOMbg69MJ836/B/v+ga9+AQAA//8DAFBLAwQUAAYA&#10;CAAAACEAOc2P4d4AAAAMAQAADwAAAGRycy9kb3ducmV2LnhtbEyPQUvEMBCF74L/IYzgzU262q3W&#10;posIFS8edhXP2WZsi82kJNmm+uvNgqDHN+/x5nvVdjEjm9H5wZKEbCWAIbVWD9RJeHttrm6B+aBI&#10;q9ESSvhCD9v6/KxSpbaRdjjvQ8dSCflSSehDmErOfdujUX5lJ6TkfVhnVEjSdVw7FVO5GflaiA03&#10;aqD0oVcTPvbYfu6PRgJl4X2MMcTZfedPeZY3z+KlkfLyYnm4BxZwCX9hOOEndKgT08EeSXs2SijW&#10;WdoSJGyu726AnRKiKApgh98Tryv+f0T9AwAA//8DAFBLAQItABQABgAIAAAAIQC2gziS/gAAAOEB&#10;AAATAAAAAAAAAAAAAAAAAAAAAABbQ29udGVudF9UeXBlc10ueG1sUEsBAi0AFAAGAAgAAAAhADj9&#10;If/WAAAAlAEAAAsAAAAAAAAAAAAAAAAALwEAAF9yZWxzLy5yZWxzUEsBAi0AFAAGAAgAAAAhADLC&#10;EDESAgAAKAQAAA4AAAAAAAAAAAAAAAAALgIAAGRycy9lMm9Eb2MueG1sUEsBAi0AFAAGAAgAAAAh&#10;ADnNj+HeAAAADAEAAA8AAAAAAAAAAAAAAAAAbAQAAGRycy9kb3ducmV2LnhtbFBLBQYAAAAABAAE&#10;APMAAAB3BQAAAAA=&#10;" strokeweight=".5pt">
                <w10:wrap anchorx="page" anchory="page"/>
              </v:line>
            </w:pict>
          </mc:Fallback>
        </mc:AlternateContent>
      </w:r>
      <w:r w:rsidR="00374F55">
        <w:rPr>
          <w:rFonts w:ascii="Arial Narrow" w:eastAsia="Arial Narrow" w:hAnsi="Arial Narrow"/>
          <w:color w:val="000000"/>
          <w:spacing w:val="-1"/>
          <w:sz w:val="15"/>
          <w:lang w:val="it-IT"/>
        </w:rPr>
        <w:t xml:space="preserve">IL FORNITORE </w:t>
      </w:r>
      <w:r w:rsidR="00374F55">
        <w:rPr>
          <w:rFonts w:ascii="Arial Narrow" w:eastAsia="Arial Narrow" w:hAnsi="Arial Narrow"/>
          <w:color w:val="000000"/>
          <w:spacing w:val="-1"/>
          <w:sz w:val="15"/>
          <w:lang w:val="it-IT"/>
        </w:rPr>
        <w:tab/>
        <w:t xml:space="preserve"> L’ACQUIRENTE</w:t>
      </w:r>
    </w:p>
    <w:p w:rsidR="004324AD" w:rsidRDefault="00374F55">
      <w:pPr>
        <w:spacing w:before="421" w:line="155" w:lineRule="exact"/>
        <w:textAlignment w:val="baseline"/>
        <w:rPr>
          <w:rFonts w:ascii="Arial Narrow" w:eastAsia="Arial Narrow" w:hAnsi="Arial Narrow"/>
          <w:b/>
          <w:color w:val="000000"/>
          <w:spacing w:val="2"/>
          <w:sz w:val="15"/>
          <w:lang w:val="it-IT"/>
        </w:rPr>
      </w:pPr>
      <w:r>
        <w:rPr>
          <w:rFonts w:ascii="Arial Narrow" w:eastAsia="Arial Narrow" w:hAnsi="Arial Narrow"/>
          <w:b/>
          <w:color w:val="000000"/>
          <w:spacing w:val="2"/>
          <w:sz w:val="15"/>
          <w:lang w:val="it-IT"/>
        </w:rPr>
        <w:t>SOLO PER L’ITALIA</w:t>
      </w:r>
    </w:p>
    <w:p w:rsidR="004324AD" w:rsidRDefault="00374F55">
      <w:pPr>
        <w:spacing w:before="41" w:line="155" w:lineRule="exact"/>
        <w:textAlignment w:val="baseline"/>
        <w:rPr>
          <w:rFonts w:ascii="Arial Narrow" w:eastAsia="Arial Narrow" w:hAnsi="Arial Narrow"/>
          <w:b/>
          <w:color w:val="000000"/>
          <w:spacing w:val="5"/>
          <w:sz w:val="15"/>
          <w:lang w:val="it-IT"/>
        </w:rPr>
      </w:pPr>
      <w:r>
        <w:rPr>
          <w:rFonts w:ascii="Arial Narrow" w:eastAsia="Arial Narrow" w:hAnsi="Arial Narrow"/>
          <w:b/>
          <w:color w:val="000000"/>
          <w:spacing w:val="5"/>
          <w:sz w:val="15"/>
          <w:lang w:val="it-IT"/>
        </w:rPr>
        <w:t>APPROVAZIONE SPECIFICA</w:t>
      </w:r>
    </w:p>
    <w:p w:rsidR="004324AD" w:rsidRDefault="00374F55">
      <w:pPr>
        <w:spacing w:before="2" w:after="430" w:line="200" w:lineRule="exact"/>
        <w:jc w:val="both"/>
        <w:textAlignment w:val="baseline"/>
        <w:rPr>
          <w:rFonts w:ascii="Arial Narrow" w:eastAsia="Arial Narrow" w:hAnsi="Arial Narrow"/>
          <w:color w:val="000000"/>
          <w:spacing w:val="7"/>
          <w:sz w:val="15"/>
          <w:lang w:val="it-IT"/>
        </w:rPr>
      </w:pPr>
      <w:r>
        <w:rPr>
          <w:rFonts w:ascii="Arial Narrow" w:eastAsia="Arial Narrow" w:hAnsi="Arial Narrow"/>
          <w:color w:val="000000"/>
          <w:spacing w:val="7"/>
          <w:sz w:val="15"/>
          <w:lang w:val="it-IT"/>
        </w:rPr>
        <w:t>Ai sensi e per gli effetti dell’art.1341 c.c., l’Acquirente dichiara di aver attentamente letto e di approvare espressamente le seguenti clausole delle condizioni generali di contratto: art.2: efficacia delle Condizioni di Vendita; art.4: consegna; art.5: termini; art.6: trasporto e imballaggio; art.7: difetti e garanzia dei prodotti; art.9: prezzo; art.10: pagamento; art.12: risoluzione; art.13: obblighi di riservatezza; art.14: conformità prodotti. Migliorie e modifiche; art.15: diritti della proprietà intellettuale; art.17: legge applicabile; art.18: foro competente; art.19: tutela dei dati personali.</w:t>
      </w:r>
    </w:p>
    <w:tbl>
      <w:tblPr>
        <w:tblW w:w="0" w:type="auto"/>
        <w:tblLayout w:type="fixed"/>
        <w:tblCellMar>
          <w:left w:w="0" w:type="dxa"/>
          <w:right w:w="0" w:type="dxa"/>
        </w:tblCellMar>
        <w:tblLook w:val="0000" w:firstRow="0" w:lastRow="0" w:firstColumn="0" w:lastColumn="0" w:noHBand="0" w:noVBand="0"/>
      </w:tblPr>
      <w:tblGrid>
        <w:gridCol w:w="3990"/>
        <w:gridCol w:w="2125"/>
        <w:gridCol w:w="3605"/>
      </w:tblGrid>
      <w:tr w:rsidR="004324AD">
        <w:trPr>
          <w:trHeight w:hRule="exact" w:val="96"/>
        </w:trPr>
        <w:tc>
          <w:tcPr>
            <w:tcW w:w="3990" w:type="dxa"/>
            <w:vMerge w:val="restart"/>
            <w:tcBorders>
              <w:top w:val="none" w:sz="0" w:space="0" w:color="000000"/>
              <w:left w:val="none" w:sz="0" w:space="0" w:color="000000"/>
              <w:bottom w:val="single" w:sz="0" w:space="0" w:color="000000"/>
              <w:right w:val="none" w:sz="0" w:space="0" w:color="000000"/>
            </w:tcBorders>
            <w:vAlign w:val="center"/>
          </w:tcPr>
          <w:p w:rsidR="004324AD" w:rsidRDefault="00374F55">
            <w:pPr>
              <w:tabs>
                <w:tab w:val="left" w:leader="underscore" w:pos="2952"/>
              </w:tabs>
              <w:spacing w:line="119" w:lineRule="exact"/>
              <w:ind w:right="991"/>
              <w:jc w:val="right"/>
              <w:textAlignment w:val="baseline"/>
              <w:rPr>
                <w:rFonts w:ascii="Arial Narrow" w:eastAsia="Arial Narrow" w:hAnsi="Arial Narrow"/>
                <w:color w:val="000000"/>
                <w:sz w:val="15"/>
                <w:lang w:val="it-IT"/>
              </w:rPr>
            </w:pPr>
            <w:r>
              <w:rPr>
                <w:rFonts w:ascii="Arial Narrow" w:eastAsia="Arial Narrow" w:hAnsi="Arial Narrow"/>
                <w:color w:val="000000"/>
                <w:sz w:val="15"/>
                <w:lang w:val="it-IT"/>
              </w:rPr>
              <w:t xml:space="preserve">DATA </w:t>
            </w:r>
            <w:r>
              <w:rPr>
                <w:rFonts w:ascii="Arial Narrow" w:eastAsia="Arial Narrow" w:hAnsi="Arial Narrow"/>
                <w:color w:val="000000"/>
                <w:sz w:val="15"/>
                <w:lang w:val="it-IT"/>
              </w:rPr>
              <w:tab/>
              <w:t xml:space="preserve"> </w:t>
            </w:r>
          </w:p>
        </w:tc>
        <w:tc>
          <w:tcPr>
            <w:tcW w:w="2125" w:type="dxa"/>
            <w:vMerge w:val="restart"/>
            <w:tcBorders>
              <w:top w:val="none" w:sz="0" w:space="0" w:color="000000"/>
              <w:left w:val="none" w:sz="0" w:space="0" w:color="000000"/>
              <w:bottom w:val="single" w:sz="0" w:space="0" w:color="000000"/>
              <w:right w:val="none" w:sz="0" w:space="0" w:color="000000"/>
            </w:tcBorders>
            <w:vAlign w:val="center"/>
          </w:tcPr>
          <w:p w:rsidR="004324AD" w:rsidRDefault="00374F55">
            <w:pPr>
              <w:spacing w:line="119" w:lineRule="exact"/>
              <w:ind w:right="212"/>
              <w:jc w:val="right"/>
              <w:textAlignment w:val="baseline"/>
              <w:rPr>
                <w:rFonts w:ascii="Arial Narrow" w:eastAsia="Arial Narrow" w:hAnsi="Arial Narrow"/>
                <w:color w:val="000000"/>
                <w:sz w:val="15"/>
                <w:lang w:val="it-IT"/>
              </w:rPr>
            </w:pPr>
            <w:r>
              <w:rPr>
                <w:rFonts w:ascii="Arial Narrow" w:eastAsia="Arial Narrow" w:hAnsi="Arial Narrow"/>
                <w:color w:val="000000"/>
                <w:sz w:val="15"/>
                <w:lang w:val="it-IT"/>
              </w:rPr>
              <w:t>L’ACQUIRENTE</w:t>
            </w:r>
          </w:p>
        </w:tc>
        <w:tc>
          <w:tcPr>
            <w:tcW w:w="3605" w:type="dxa"/>
            <w:tcBorders>
              <w:top w:val="none" w:sz="0" w:space="0" w:color="000000"/>
              <w:left w:val="none" w:sz="0" w:space="0" w:color="000000"/>
              <w:bottom w:val="single" w:sz="2" w:space="0" w:color="000000"/>
              <w:right w:val="none" w:sz="0" w:space="0" w:color="000000"/>
            </w:tcBorders>
          </w:tcPr>
          <w:p w:rsidR="004324AD" w:rsidRDefault="004324AD"/>
        </w:tc>
      </w:tr>
      <w:tr w:rsidR="004324AD">
        <w:trPr>
          <w:trHeight w:hRule="exact" w:val="33"/>
        </w:trPr>
        <w:tc>
          <w:tcPr>
            <w:tcW w:w="3990" w:type="dxa"/>
            <w:vMerge/>
            <w:tcBorders>
              <w:top w:val="single" w:sz="0" w:space="0" w:color="000000"/>
              <w:left w:val="none" w:sz="0" w:space="0" w:color="000000"/>
              <w:bottom w:val="none" w:sz="0" w:space="0" w:color="000000"/>
              <w:right w:val="none" w:sz="0" w:space="0" w:color="000000"/>
            </w:tcBorders>
            <w:vAlign w:val="center"/>
          </w:tcPr>
          <w:p w:rsidR="004324AD" w:rsidRDefault="004324AD"/>
        </w:tc>
        <w:tc>
          <w:tcPr>
            <w:tcW w:w="2125" w:type="dxa"/>
            <w:vMerge/>
            <w:tcBorders>
              <w:top w:val="single" w:sz="0" w:space="0" w:color="000000"/>
              <w:left w:val="none" w:sz="0" w:space="0" w:color="000000"/>
              <w:bottom w:val="none" w:sz="0" w:space="0" w:color="000000"/>
              <w:right w:val="none" w:sz="0" w:space="0" w:color="000000"/>
            </w:tcBorders>
            <w:vAlign w:val="center"/>
          </w:tcPr>
          <w:p w:rsidR="004324AD" w:rsidRDefault="004324AD"/>
        </w:tc>
        <w:tc>
          <w:tcPr>
            <w:tcW w:w="3605" w:type="dxa"/>
            <w:tcBorders>
              <w:top w:val="single" w:sz="2" w:space="0" w:color="000000"/>
              <w:left w:val="none" w:sz="0" w:space="0" w:color="000000"/>
              <w:bottom w:val="none" w:sz="0" w:space="0" w:color="000000"/>
              <w:right w:val="none" w:sz="0" w:space="0" w:color="000000"/>
            </w:tcBorders>
          </w:tcPr>
          <w:p w:rsidR="004324AD" w:rsidRDefault="004324AD"/>
        </w:tc>
      </w:tr>
    </w:tbl>
    <w:p w:rsidR="004324AD" w:rsidRDefault="004324AD">
      <w:pPr>
        <w:spacing w:after="7036" w:line="20" w:lineRule="exact"/>
      </w:pPr>
    </w:p>
    <w:tbl>
      <w:tblPr>
        <w:tblW w:w="0" w:type="auto"/>
        <w:tblLayout w:type="fixed"/>
        <w:tblCellMar>
          <w:left w:w="0" w:type="dxa"/>
          <w:right w:w="0" w:type="dxa"/>
        </w:tblCellMar>
        <w:tblLook w:val="0000" w:firstRow="0" w:lastRow="0" w:firstColumn="0" w:lastColumn="0" w:noHBand="0" w:noVBand="0"/>
      </w:tblPr>
      <w:tblGrid>
        <w:gridCol w:w="2639"/>
        <w:gridCol w:w="4439"/>
        <w:gridCol w:w="1917"/>
        <w:gridCol w:w="725"/>
      </w:tblGrid>
      <w:tr w:rsidR="004324AD">
        <w:trPr>
          <w:trHeight w:hRule="exact" w:val="43"/>
        </w:trPr>
        <w:tc>
          <w:tcPr>
            <w:tcW w:w="2639" w:type="dxa"/>
            <w:tcBorders>
              <w:top w:val="none" w:sz="0" w:space="0" w:color="000000"/>
              <w:left w:val="none" w:sz="0" w:space="0" w:color="000000"/>
              <w:bottom w:val="none" w:sz="0" w:space="0" w:color="000000"/>
              <w:right w:val="none" w:sz="0" w:space="0" w:color="000000"/>
            </w:tcBorders>
          </w:tcPr>
          <w:p w:rsidR="004324AD" w:rsidRDefault="004324AD"/>
        </w:tc>
        <w:tc>
          <w:tcPr>
            <w:tcW w:w="4439" w:type="dxa"/>
            <w:tcBorders>
              <w:top w:val="none" w:sz="0" w:space="0" w:color="000000"/>
              <w:left w:val="none" w:sz="0" w:space="0" w:color="000000"/>
              <w:bottom w:val="none" w:sz="0" w:space="0" w:color="000000"/>
              <w:right w:val="none" w:sz="0" w:space="0" w:color="000000"/>
            </w:tcBorders>
          </w:tcPr>
          <w:p w:rsidR="004324AD" w:rsidRDefault="004324AD"/>
        </w:tc>
        <w:tc>
          <w:tcPr>
            <w:tcW w:w="1917" w:type="dxa"/>
            <w:tcBorders>
              <w:top w:val="none" w:sz="0" w:space="0" w:color="000000"/>
              <w:left w:val="none" w:sz="0" w:space="0" w:color="000000"/>
              <w:bottom w:val="none" w:sz="0" w:space="0" w:color="000000"/>
              <w:right w:val="none" w:sz="0" w:space="0" w:color="000000"/>
            </w:tcBorders>
          </w:tcPr>
          <w:p w:rsidR="004324AD" w:rsidRDefault="004324AD"/>
        </w:tc>
        <w:tc>
          <w:tcPr>
            <w:tcW w:w="725" w:type="dxa"/>
            <w:vMerge w:val="restart"/>
            <w:tcBorders>
              <w:top w:val="none" w:sz="0" w:space="0" w:color="000000"/>
              <w:left w:val="none" w:sz="0" w:space="0" w:color="000000"/>
              <w:bottom w:val="single" w:sz="0" w:space="0" w:color="000000"/>
              <w:right w:val="none" w:sz="0" w:space="0" w:color="000000"/>
            </w:tcBorders>
          </w:tcPr>
          <w:p w:rsidR="004324AD" w:rsidRDefault="004324AD">
            <w:pPr>
              <w:ind w:right="44"/>
              <w:jc w:val="center"/>
              <w:textAlignment w:val="baseline"/>
            </w:pPr>
          </w:p>
        </w:tc>
      </w:tr>
      <w:tr w:rsidR="004324AD">
        <w:trPr>
          <w:trHeight w:hRule="exact" w:val="735"/>
        </w:trPr>
        <w:tc>
          <w:tcPr>
            <w:tcW w:w="8995" w:type="dxa"/>
            <w:gridSpan w:val="3"/>
            <w:tcBorders>
              <w:top w:val="none" w:sz="0" w:space="0" w:color="000000"/>
              <w:left w:val="none" w:sz="0" w:space="0" w:color="000000"/>
              <w:bottom w:val="none" w:sz="0" w:space="0" w:color="000000"/>
              <w:right w:val="none" w:sz="0" w:space="0" w:color="000000"/>
            </w:tcBorders>
          </w:tcPr>
          <w:p w:rsidR="004324AD" w:rsidRDefault="004324AD">
            <w:pPr>
              <w:spacing w:before="37" w:after="89" w:line="155" w:lineRule="exact"/>
              <w:ind w:right="1480"/>
              <w:jc w:val="right"/>
              <w:textAlignment w:val="baseline"/>
              <w:rPr>
                <w:rFonts w:ascii="Arial Narrow" w:eastAsia="Arial Narrow" w:hAnsi="Arial Narrow"/>
                <w:color w:val="403F40"/>
                <w:sz w:val="15"/>
                <w:lang w:val="it-IT"/>
              </w:rPr>
            </w:pPr>
          </w:p>
        </w:tc>
        <w:tc>
          <w:tcPr>
            <w:tcW w:w="725" w:type="dxa"/>
            <w:vMerge/>
            <w:tcBorders>
              <w:top w:val="single" w:sz="0" w:space="0" w:color="000000"/>
              <w:left w:val="none" w:sz="0" w:space="0" w:color="000000"/>
              <w:bottom w:val="none" w:sz="0" w:space="0" w:color="000000"/>
              <w:right w:val="none" w:sz="0" w:space="0" w:color="000000"/>
            </w:tcBorders>
          </w:tcPr>
          <w:p w:rsidR="004324AD" w:rsidRDefault="004324AD"/>
        </w:tc>
      </w:tr>
      <w:tr w:rsidR="004324AD">
        <w:trPr>
          <w:trHeight w:hRule="exact" w:val="263"/>
        </w:trPr>
        <w:tc>
          <w:tcPr>
            <w:tcW w:w="2639" w:type="dxa"/>
            <w:tcBorders>
              <w:top w:val="none" w:sz="0" w:space="0" w:color="000000"/>
              <w:left w:val="none" w:sz="0" w:space="0" w:color="000000"/>
              <w:bottom w:val="none" w:sz="0" w:space="0" w:color="000000"/>
              <w:right w:val="none" w:sz="0" w:space="0" w:color="000000"/>
            </w:tcBorders>
          </w:tcPr>
          <w:p w:rsidR="004324AD" w:rsidRDefault="004324AD"/>
        </w:tc>
        <w:tc>
          <w:tcPr>
            <w:tcW w:w="4439" w:type="dxa"/>
            <w:tcBorders>
              <w:top w:val="none" w:sz="0" w:space="0" w:color="000000"/>
              <w:left w:val="none" w:sz="0" w:space="0" w:color="000000"/>
              <w:bottom w:val="none" w:sz="0" w:space="0" w:color="000000"/>
              <w:right w:val="none" w:sz="0" w:space="0" w:color="000000"/>
            </w:tcBorders>
            <w:vAlign w:val="center"/>
          </w:tcPr>
          <w:p w:rsidR="004324AD" w:rsidRDefault="0026149A">
            <w:pPr>
              <w:spacing w:before="87" w:after="7" w:line="155" w:lineRule="exact"/>
              <w:jc w:val="center"/>
              <w:textAlignment w:val="baseline"/>
              <w:rPr>
                <w:rFonts w:ascii="Arial Narrow" w:eastAsia="Arial Narrow" w:hAnsi="Arial Narrow"/>
                <w:color w:val="403F40"/>
                <w:sz w:val="15"/>
                <w:lang w:val="it-IT"/>
              </w:rPr>
            </w:pPr>
            <w:r>
              <w:rPr>
                <w:rFonts w:ascii="Arial Narrow" w:eastAsia="Arial Narrow" w:hAnsi="Arial Narrow"/>
                <w:color w:val="403F40"/>
                <w:sz w:val="15"/>
                <w:lang w:val="it-IT"/>
              </w:rPr>
              <w:t>P</w:t>
            </w:r>
            <w:r w:rsidR="00374F55">
              <w:rPr>
                <w:rFonts w:ascii="Arial Narrow" w:eastAsia="Arial Narrow" w:hAnsi="Arial Narrow"/>
                <w:color w:val="403F40"/>
                <w:sz w:val="15"/>
                <w:lang w:val="it-IT"/>
              </w:rPr>
              <w:t>ag</w:t>
            </w:r>
            <w:r>
              <w:rPr>
                <w:rFonts w:ascii="Arial Narrow" w:eastAsia="Arial Narrow" w:hAnsi="Arial Narrow"/>
                <w:color w:val="403F40"/>
                <w:sz w:val="15"/>
                <w:lang w:val="it-IT"/>
              </w:rPr>
              <w:t>.</w:t>
            </w:r>
            <w:r w:rsidR="00374F55">
              <w:rPr>
                <w:rFonts w:ascii="Arial Narrow" w:eastAsia="Arial Narrow" w:hAnsi="Arial Narrow"/>
                <w:color w:val="403F40"/>
                <w:sz w:val="15"/>
                <w:lang w:val="it-IT"/>
              </w:rPr>
              <w:t xml:space="preserve"> | 4</w:t>
            </w:r>
          </w:p>
        </w:tc>
        <w:tc>
          <w:tcPr>
            <w:tcW w:w="1917" w:type="dxa"/>
            <w:tcBorders>
              <w:top w:val="none" w:sz="0" w:space="0" w:color="000000"/>
              <w:left w:val="none" w:sz="0" w:space="0" w:color="000000"/>
              <w:bottom w:val="none" w:sz="0" w:space="0" w:color="000000"/>
              <w:right w:val="none" w:sz="0" w:space="0" w:color="000000"/>
            </w:tcBorders>
          </w:tcPr>
          <w:p w:rsidR="004324AD" w:rsidRDefault="004324AD"/>
        </w:tc>
        <w:tc>
          <w:tcPr>
            <w:tcW w:w="725" w:type="dxa"/>
            <w:tcBorders>
              <w:top w:val="none" w:sz="0" w:space="0" w:color="000000"/>
              <w:left w:val="none" w:sz="0" w:space="0" w:color="000000"/>
              <w:bottom w:val="none" w:sz="0" w:space="0" w:color="000000"/>
              <w:right w:val="none" w:sz="0" w:space="0" w:color="000000"/>
            </w:tcBorders>
          </w:tcPr>
          <w:p w:rsidR="004324AD" w:rsidRDefault="004324AD"/>
        </w:tc>
      </w:tr>
    </w:tbl>
    <w:p w:rsidR="007265B7" w:rsidRDefault="007265B7"/>
    <w:sectPr w:rsidR="007265B7">
      <w:pgSz w:w="11909" w:h="16838"/>
      <w:pgMar w:top="520" w:right="1094" w:bottom="59" w:left="10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DF" w:rsidRDefault="006763DF" w:rsidP="006763DF">
      <w:r>
        <w:separator/>
      </w:r>
    </w:p>
  </w:endnote>
  <w:endnote w:type="continuationSeparator" w:id="0">
    <w:p w:rsidR="006763DF" w:rsidRDefault="006763DF" w:rsidP="0067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DF" w:rsidRDefault="006763DF" w:rsidP="006763DF">
      <w:r>
        <w:separator/>
      </w:r>
    </w:p>
  </w:footnote>
  <w:footnote w:type="continuationSeparator" w:id="0">
    <w:p w:rsidR="006763DF" w:rsidRDefault="006763DF" w:rsidP="006763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4421"/>
    <w:multiLevelType w:val="multilevel"/>
    <w:tmpl w:val="B628C240"/>
    <w:lvl w:ilvl="0">
      <w:start w:val="1"/>
      <w:numFmt w:val="lowerLetter"/>
      <w:lvlText w:val="%1)"/>
      <w:lvlJc w:val="left"/>
      <w:pPr>
        <w:tabs>
          <w:tab w:val="left" w:pos="144"/>
        </w:tabs>
      </w:pPr>
      <w:rPr>
        <w:rFonts w:ascii="Arial Narrow" w:eastAsia="Arial Narrow" w:hAnsi="Arial Narrow"/>
        <w:color w:val="000000"/>
        <w:spacing w:val="8"/>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8E2C47"/>
    <w:multiLevelType w:val="multilevel"/>
    <w:tmpl w:val="C846BCF2"/>
    <w:lvl w:ilvl="0">
      <w:start w:val="1"/>
      <w:numFmt w:val="decimal"/>
      <w:lvlText w:val="%1)"/>
      <w:lvlJc w:val="left"/>
      <w:pPr>
        <w:tabs>
          <w:tab w:val="left" w:pos="144"/>
        </w:tabs>
      </w:pPr>
      <w:rPr>
        <w:rFonts w:ascii="Arial Narrow" w:eastAsia="Arial Narrow" w:hAnsi="Arial Narrow"/>
        <w:color w:val="000000"/>
        <w:spacing w:val="6"/>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341290C"/>
    <w:multiLevelType w:val="multilevel"/>
    <w:tmpl w:val="C128B658"/>
    <w:lvl w:ilvl="0">
      <w:start w:val="17"/>
      <w:numFmt w:val="decimal"/>
      <w:lvlText w:val="%1."/>
      <w:lvlJc w:val="left"/>
      <w:pPr>
        <w:tabs>
          <w:tab w:val="left" w:pos="216"/>
        </w:tabs>
      </w:pPr>
      <w:rPr>
        <w:rFonts w:ascii="Arial Narrow" w:eastAsia="Arial Narrow" w:hAnsi="Arial Narrow"/>
        <w:b/>
        <w:color w:val="000000"/>
        <w:spacing w:val="3"/>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5864513"/>
    <w:multiLevelType w:val="multilevel"/>
    <w:tmpl w:val="4D7A949C"/>
    <w:lvl w:ilvl="0">
      <w:start w:val="1"/>
      <w:numFmt w:val="lowerLetter"/>
      <w:lvlText w:val="%1)"/>
      <w:lvlJc w:val="left"/>
      <w:pPr>
        <w:tabs>
          <w:tab w:val="left" w:pos="144"/>
        </w:tabs>
      </w:pPr>
      <w:rPr>
        <w:rFonts w:ascii="Arial Narrow" w:eastAsia="Arial Narrow" w:hAnsi="Arial Narrow"/>
        <w:color w:val="000000"/>
        <w:spacing w:val="7"/>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81D1EBC"/>
    <w:multiLevelType w:val="multilevel"/>
    <w:tmpl w:val="AB485834"/>
    <w:lvl w:ilvl="0">
      <w:start w:val="8"/>
      <w:numFmt w:val="decimal"/>
      <w:lvlText w:val="%1."/>
      <w:lvlJc w:val="left"/>
      <w:pPr>
        <w:tabs>
          <w:tab w:val="left" w:pos="216"/>
        </w:tabs>
      </w:pPr>
      <w:rPr>
        <w:rFonts w:ascii="Arial Narrow" w:eastAsia="Arial Narrow" w:hAnsi="Arial Narrow"/>
        <w:b/>
        <w:color w:val="000000"/>
        <w:spacing w:val="0"/>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3545BFC"/>
    <w:multiLevelType w:val="multilevel"/>
    <w:tmpl w:val="1F2C589C"/>
    <w:lvl w:ilvl="0">
      <w:start w:val="1"/>
      <w:numFmt w:val="lowerLetter"/>
      <w:lvlText w:val="%1)"/>
      <w:lvlJc w:val="left"/>
      <w:pPr>
        <w:tabs>
          <w:tab w:val="left" w:pos="144"/>
        </w:tabs>
      </w:pPr>
      <w:rPr>
        <w:rFonts w:ascii="Arial Narrow" w:eastAsia="Arial Narrow" w:hAnsi="Arial Narrow"/>
        <w:color w:val="000000"/>
        <w:spacing w:val="0"/>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9B62ACF"/>
    <w:multiLevelType w:val="multilevel"/>
    <w:tmpl w:val="0AFA6730"/>
    <w:lvl w:ilvl="0">
      <w:start w:val="5"/>
      <w:numFmt w:val="lowerLetter"/>
      <w:lvlText w:val="%1)"/>
      <w:lvlJc w:val="left"/>
      <w:pPr>
        <w:tabs>
          <w:tab w:val="left" w:pos="144"/>
        </w:tabs>
      </w:pPr>
      <w:rPr>
        <w:rFonts w:ascii="Arial Narrow" w:eastAsia="Arial Narrow" w:hAnsi="Arial Narrow"/>
        <w:color w:val="000000"/>
        <w:spacing w:val="6"/>
        <w:w w:val="100"/>
        <w:sz w:val="15"/>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08"/>
  <w:hyphenationZone w:val="283"/>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AD"/>
    <w:rsid w:val="001B1E5C"/>
    <w:rsid w:val="001F7840"/>
    <w:rsid w:val="0026149A"/>
    <w:rsid w:val="00295C61"/>
    <w:rsid w:val="00374F55"/>
    <w:rsid w:val="003F1DA2"/>
    <w:rsid w:val="004324AD"/>
    <w:rsid w:val="006763DF"/>
    <w:rsid w:val="007265B7"/>
    <w:rsid w:val="009C4613"/>
    <w:rsid w:val="00B93BF1"/>
    <w:rsid w:val="00F51EBF"/>
    <w:rsid w:val="00FE03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C98595"/>
  <w15:docId w15:val="{D2974EF4-4B8C-4557-B375-7DBC5F51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763DF"/>
    <w:pPr>
      <w:tabs>
        <w:tab w:val="center" w:pos="4819"/>
        <w:tab w:val="right" w:pos="9638"/>
      </w:tabs>
    </w:pPr>
  </w:style>
  <w:style w:type="character" w:customStyle="1" w:styleId="IntestazioneCarattere">
    <w:name w:val="Intestazione Carattere"/>
    <w:basedOn w:val="Carpredefinitoparagrafo"/>
    <w:link w:val="Intestazione"/>
    <w:uiPriority w:val="99"/>
    <w:rsid w:val="006763DF"/>
  </w:style>
  <w:style w:type="paragraph" w:styleId="Pidipagina">
    <w:name w:val="footer"/>
    <w:basedOn w:val="Normale"/>
    <w:link w:val="PidipaginaCarattere"/>
    <w:uiPriority w:val="99"/>
    <w:unhideWhenUsed/>
    <w:rsid w:val="006763DF"/>
    <w:pPr>
      <w:tabs>
        <w:tab w:val="center" w:pos="4819"/>
        <w:tab w:val="right" w:pos="9638"/>
      </w:tabs>
    </w:pPr>
  </w:style>
  <w:style w:type="character" w:customStyle="1" w:styleId="PidipaginaCarattere">
    <w:name w:val="Piè di pagina Carattere"/>
    <w:basedOn w:val="Carpredefinitoparagrafo"/>
    <w:link w:val="Pidipagina"/>
    <w:uiPriority w:val="99"/>
    <w:rsid w:val="00676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3331</Words>
  <Characters>18992</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Vigolo</dc:creator>
  <cp:lastModifiedBy>Daniela Vigolo</cp:lastModifiedBy>
  <cp:revision>4</cp:revision>
  <dcterms:created xsi:type="dcterms:W3CDTF">2025-05-07T12:15:00Z</dcterms:created>
  <dcterms:modified xsi:type="dcterms:W3CDTF">2025-05-07T12:24:00Z</dcterms:modified>
</cp:coreProperties>
</file>